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DFF" w:rsidRDefault="00A15DFF" w:rsidP="00FB32BD">
      <w:pPr>
        <w:widowControl w:val="0"/>
        <w:spacing w:after="0"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sz w:val="24"/>
          <w:szCs w:val="24"/>
        </w:rPr>
        <w:t>OCTAVA</w:t>
      </w:r>
      <w:r w:rsidRPr="009F71D8">
        <w:rPr>
          <w:rFonts w:ascii="Palatino Linotype" w:hAnsi="Palatino Linotype" w:cs="Arial"/>
          <w:b/>
          <w:sz w:val="24"/>
          <w:szCs w:val="24"/>
        </w:rPr>
        <w:t xml:space="preserve"> SESIÓN ORDINARIA DE </w:t>
      </w:r>
      <w:r>
        <w:rPr>
          <w:rFonts w:ascii="Palatino Linotype" w:hAnsi="Palatino Linotype" w:cs="Arial"/>
          <w:b/>
          <w:sz w:val="24"/>
          <w:szCs w:val="24"/>
        </w:rPr>
        <w:t xml:space="preserve">VEINTISIETE DE FEBRERO DE </w:t>
      </w:r>
      <w:r w:rsidRPr="009F71D8">
        <w:rPr>
          <w:rFonts w:ascii="Palatino Linotype" w:hAnsi="Palatino Linotype" w:cs="Arial"/>
          <w:b/>
          <w:sz w:val="24"/>
          <w:szCs w:val="24"/>
        </w:rPr>
        <w:t>DOS MIL DIECI</w:t>
      </w:r>
      <w:r>
        <w:rPr>
          <w:rFonts w:ascii="Palatino Linotype" w:hAnsi="Palatino Linotype" w:cs="Arial"/>
          <w:b/>
          <w:sz w:val="24"/>
          <w:szCs w:val="24"/>
        </w:rPr>
        <w:t>NUEVE</w:t>
      </w:r>
      <w:r w:rsidRPr="009F71D8">
        <w:rPr>
          <w:rFonts w:ascii="Palatino Linotype" w:hAnsi="Palatino Linotype" w:cs="Arial"/>
          <w:b/>
          <w:sz w:val="24"/>
          <w:szCs w:val="24"/>
        </w:rPr>
        <w:t xml:space="preserve">, EN EL RECURSO DE REVISIÓN </w:t>
      </w:r>
      <w:r>
        <w:rPr>
          <w:rFonts w:ascii="Palatino Linotype" w:hAnsi="Palatino Linotype" w:cs="Arial"/>
          <w:b/>
          <w:bCs/>
          <w:sz w:val="24"/>
          <w:szCs w:val="24"/>
        </w:rPr>
        <w:t>04608</w:t>
      </w:r>
      <w:r w:rsidRPr="009F71D8">
        <w:rPr>
          <w:rFonts w:ascii="Palatino Linotype" w:hAnsi="Palatino Linotype" w:cs="Arial"/>
          <w:b/>
          <w:bCs/>
          <w:sz w:val="24"/>
          <w:szCs w:val="24"/>
        </w:rPr>
        <w:t>/INFOEM/IP/RR/201</w:t>
      </w:r>
      <w:r>
        <w:rPr>
          <w:rFonts w:ascii="Palatino Linotype" w:hAnsi="Palatino Linotype" w:cs="Arial"/>
          <w:b/>
          <w:bCs/>
          <w:sz w:val="24"/>
          <w:szCs w:val="24"/>
        </w:rPr>
        <w:t>8</w:t>
      </w:r>
      <w:r w:rsidRPr="009F71D8">
        <w:rPr>
          <w:rFonts w:ascii="Palatino Linotype" w:hAnsi="Palatino Linotype" w:cs="Arial"/>
          <w:b/>
          <w:bCs/>
          <w:sz w:val="24"/>
          <w:szCs w:val="24"/>
        </w:rPr>
        <w:t>.</w:t>
      </w:r>
    </w:p>
    <w:p w:rsidR="00FB32BD" w:rsidRDefault="00FB32BD" w:rsidP="00FB32BD">
      <w:pPr>
        <w:widowControl w:val="0"/>
        <w:spacing w:after="0" w:line="360" w:lineRule="auto"/>
        <w:ind w:right="49"/>
        <w:jc w:val="both"/>
        <w:rPr>
          <w:rFonts w:ascii="Palatino Linotype" w:hAnsi="Palatino Linotype" w:cs="Arial"/>
          <w:b/>
          <w:bCs/>
          <w:sz w:val="24"/>
          <w:szCs w:val="24"/>
        </w:rPr>
      </w:pPr>
    </w:p>
    <w:p w:rsidR="00A15DFF" w:rsidRDefault="00A15DFF" w:rsidP="00FB32BD">
      <w:pPr>
        <w:spacing w:after="0"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Pr>
          <w:rFonts w:ascii="Palatino Linotype" w:hAnsi="Palatino Linotype" w:cs="Arial"/>
          <w:b/>
          <w:bCs/>
          <w:sz w:val="24"/>
          <w:szCs w:val="24"/>
        </w:rPr>
        <w:t>04608</w:t>
      </w:r>
      <w:r w:rsidRPr="009F71D8">
        <w:rPr>
          <w:rFonts w:ascii="Palatino Linotype" w:hAnsi="Palatino Linotype" w:cs="Arial"/>
          <w:b/>
          <w:bCs/>
          <w:sz w:val="24"/>
          <w:szCs w:val="24"/>
        </w:rPr>
        <w:t>/INFOEM/IP/RR/201</w:t>
      </w:r>
      <w:r>
        <w:rPr>
          <w:rFonts w:ascii="Palatino Linotype" w:hAnsi="Palatino Linotype" w:cs="Arial"/>
          <w:b/>
          <w:bCs/>
          <w:sz w:val="24"/>
          <w:szCs w:val="24"/>
        </w:rPr>
        <w:t>8</w:t>
      </w:r>
      <w:r w:rsidRPr="009F71D8">
        <w:rPr>
          <w:rFonts w:ascii="Palatino Linotype" w:hAnsi="Palatino Linotype" w:cs="Arial"/>
          <w:sz w:val="24"/>
          <w:szCs w:val="24"/>
        </w:rPr>
        <w:t>, pronunciada por el Pleno de este Instituto an</w:t>
      </w:r>
      <w:r>
        <w:rPr>
          <w:rFonts w:ascii="Palatino Linotype" w:hAnsi="Palatino Linotype" w:cs="Arial"/>
          <w:sz w:val="24"/>
          <w:szCs w:val="24"/>
        </w:rPr>
        <w:t>te el proyecto presentado por el Comisionado</w:t>
      </w:r>
      <w:r w:rsidRPr="009F71D8">
        <w:rPr>
          <w:rFonts w:ascii="Palatino Linotype" w:hAnsi="Palatino Linotype" w:cs="Arial"/>
          <w:sz w:val="24"/>
          <w:szCs w:val="24"/>
        </w:rPr>
        <w:t xml:space="preserve"> </w:t>
      </w:r>
      <w:r>
        <w:rPr>
          <w:rFonts w:ascii="Palatino Linotype" w:hAnsi="Palatino Linotype" w:cs="Arial"/>
          <w:b/>
          <w:sz w:val="24"/>
          <w:szCs w:val="24"/>
        </w:rPr>
        <w:t>JOSÉ GUADALUPE LUNA HERNÁNDEZ</w:t>
      </w:r>
      <w:r w:rsidRPr="009F71D8">
        <w:rPr>
          <w:rFonts w:ascii="Palatino Linotype" w:hAnsi="Palatino Linotype" w:cs="Arial"/>
          <w:sz w:val="24"/>
          <w:szCs w:val="24"/>
        </w:rPr>
        <w:t>, que es del tenor siguiente.</w:t>
      </w:r>
    </w:p>
    <w:p w:rsidR="00FB32BD" w:rsidRDefault="00FB32BD" w:rsidP="00FB32BD">
      <w:pPr>
        <w:spacing w:after="0" w:line="360" w:lineRule="auto"/>
        <w:ind w:right="49"/>
        <w:jc w:val="both"/>
        <w:rPr>
          <w:rFonts w:ascii="Palatino Linotype" w:hAnsi="Palatino Linotype" w:cs="Arial"/>
          <w:sz w:val="24"/>
          <w:szCs w:val="24"/>
        </w:rPr>
      </w:pPr>
    </w:p>
    <w:p w:rsidR="00A15DFF" w:rsidRDefault="00A15DFF" w:rsidP="00FB32BD">
      <w:pPr>
        <w:spacing w:after="0"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w:t>
      </w:r>
      <w:r>
        <w:rPr>
          <w:rFonts w:ascii="Palatino Linotype" w:hAnsi="Palatino Linotype"/>
          <w:sz w:val="24"/>
          <w:szCs w:val="24"/>
        </w:rPr>
        <w:t>las causas que dieron origen al recurso de revisión</w:t>
      </w:r>
      <w:r w:rsidRPr="009F71D8">
        <w:rPr>
          <w:rFonts w:ascii="Palatino Linotype" w:hAnsi="Palatino Linotype"/>
          <w:sz w:val="24"/>
          <w:szCs w:val="24"/>
        </w:rPr>
        <w:t xml:space="preserve">; </w:t>
      </w:r>
      <w:r w:rsidR="00310F76">
        <w:rPr>
          <w:rFonts w:ascii="Palatino Linotype" w:hAnsi="Palatino Linotype"/>
          <w:sz w:val="24"/>
          <w:szCs w:val="24"/>
        </w:rPr>
        <w:t>no obstante</w:t>
      </w:r>
      <w:r>
        <w:rPr>
          <w:rFonts w:ascii="Palatino Linotype" w:hAnsi="Palatino Linotype"/>
          <w:sz w:val="24"/>
          <w:szCs w:val="24"/>
        </w:rPr>
        <w:t xml:space="preserve">, </w:t>
      </w:r>
      <w:r w:rsidRPr="009F71D8">
        <w:rPr>
          <w:rFonts w:ascii="Palatino Linotype" w:hAnsi="Palatino Linotype"/>
          <w:sz w:val="24"/>
          <w:szCs w:val="24"/>
        </w:rPr>
        <w:t>estim</w:t>
      </w:r>
      <w:r>
        <w:rPr>
          <w:rFonts w:ascii="Palatino Linotype" w:hAnsi="Palatino Linotype"/>
          <w:sz w:val="24"/>
          <w:szCs w:val="24"/>
        </w:rPr>
        <w:t>o</w:t>
      </w:r>
      <w:r w:rsidRPr="009F71D8">
        <w:rPr>
          <w:rFonts w:ascii="Palatino Linotype" w:hAnsi="Palatino Linotype"/>
          <w:sz w:val="24"/>
          <w:szCs w:val="24"/>
        </w:rPr>
        <w:t xml:space="preserve"> necesario precisar algunas consideraciones de hecho y de derecho, tocante a parte de</w:t>
      </w:r>
      <w:r>
        <w:rPr>
          <w:rFonts w:ascii="Palatino Linotype" w:hAnsi="Palatino Linotype"/>
          <w:sz w:val="24"/>
          <w:szCs w:val="24"/>
        </w:rPr>
        <w:t xml:space="preserve"> la información que se ordena e</w:t>
      </w:r>
      <w:r w:rsidRPr="009F71D8">
        <w:rPr>
          <w:rFonts w:ascii="Palatino Linotype" w:hAnsi="Palatino Linotype"/>
          <w:sz w:val="24"/>
          <w:szCs w:val="24"/>
        </w:rPr>
        <w:t>n</w:t>
      </w:r>
      <w:r>
        <w:rPr>
          <w:rFonts w:ascii="Palatino Linotype" w:hAnsi="Palatino Linotype"/>
          <w:sz w:val="24"/>
          <w:szCs w:val="24"/>
        </w:rPr>
        <w:t xml:space="preserve">tregar en </w:t>
      </w:r>
      <w:r w:rsidRPr="009F71D8">
        <w:rPr>
          <w:rFonts w:ascii="Palatino Linotype" w:hAnsi="Palatino Linotype"/>
          <w:sz w:val="24"/>
          <w:szCs w:val="24"/>
        </w:rPr>
        <w:t>la resolución de mérito.</w:t>
      </w:r>
    </w:p>
    <w:p w:rsidR="00FB32BD" w:rsidRDefault="00FB32BD" w:rsidP="00FB32BD">
      <w:pPr>
        <w:spacing w:after="0" w:line="360" w:lineRule="auto"/>
        <w:ind w:right="49"/>
        <w:jc w:val="both"/>
        <w:rPr>
          <w:rFonts w:ascii="Palatino Linotype" w:hAnsi="Palatino Linotype"/>
          <w:sz w:val="24"/>
          <w:szCs w:val="24"/>
        </w:rPr>
      </w:pPr>
    </w:p>
    <w:p w:rsidR="00A15DFF" w:rsidRDefault="00A15DFF" w:rsidP="00FB32BD">
      <w:pPr>
        <w:spacing w:after="0" w:line="360" w:lineRule="auto"/>
        <w:jc w:val="both"/>
        <w:rPr>
          <w:rFonts w:ascii="Palatino Linotype" w:hAnsi="Palatino Linotype"/>
          <w:sz w:val="24"/>
          <w:szCs w:val="24"/>
        </w:rPr>
      </w:pPr>
      <w:r>
        <w:rPr>
          <w:rFonts w:ascii="Palatino Linotype" w:hAnsi="Palatino Linotype"/>
          <w:sz w:val="24"/>
          <w:szCs w:val="24"/>
        </w:rPr>
        <w:t>T</w:t>
      </w:r>
      <w:r w:rsidRPr="009F71D8">
        <w:rPr>
          <w:rFonts w:ascii="Palatino Linotype" w:hAnsi="Palatino Linotype"/>
          <w:sz w:val="24"/>
          <w:szCs w:val="24"/>
        </w:rPr>
        <w:t>al y como quedó debidamente asentado en la resoluc</w:t>
      </w:r>
      <w:r>
        <w:rPr>
          <w:rFonts w:ascii="Palatino Linotype" w:hAnsi="Palatino Linotype"/>
          <w:sz w:val="24"/>
          <w:szCs w:val="24"/>
        </w:rPr>
        <w:t>ión materia del presente voto, la particular requirió de</w:t>
      </w:r>
      <w:r w:rsidRPr="00B511B8">
        <w:rPr>
          <w:rFonts w:ascii="Palatino Linotype" w:eastAsia="MS Mincho" w:hAnsi="Palatino Linotype" w:cs="Arial"/>
          <w:sz w:val="24"/>
          <w:szCs w:val="24"/>
          <w:lang w:val="es-ES_tradnl" w:eastAsia="es-ES"/>
        </w:rPr>
        <w:t xml:space="preserve">l </w:t>
      </w:r>
      <w:r>
        <w:rPr>
          <w:rFonts w:ascii="Palatino Linotype" w:eastAsia="MS Mincho" w:hAnsi="Palatino Linotype" w:cs="Arial"/>
          <w:b/>
          <w:sz w:val="24"/>
          <w:szCs w:val="24"/>
          <w:lang w:val="es-ES_tradnl" w:eastAsia="es-ES"/>
        </w:rPr>
        <w:t xml:space="preserve">Tecnológico de Estudios Superiores de Coacalco, </w:t>
      </w:r>
      <w:r>
        <w:rPr>
          <w:rFonts w:ascii="Palatino Linotype" w:eastAsia="MS Mincho" w:hAnsi="Palatino Linotype" w:cs="Arial"/>
          <w:sz w:val="24"/>
          <w:szCs w:val="24"/>
          <w:lang w:val="es-ES_tradnl" w:eastAsia="es-ES"/>
        </w:rPr>
        <w:t xml:space="preserve">en lo sucesivo </w:t>
      </w:r>
      <w:r>
        <w:rPr>
          <w:rFonts w:ascii="Palatino Linotype" w:hAnsi="Palatino Linotype"/>
          <w:b/>
          <w:sz w:val="24"/>
          <w:szCs w:val="24"/>
        </w:rPr>
        <w:lastRenderedPageBreak/>
        <w:t>EL S</w:t>
      </w:r>
      <w:r w:rsidRPr="009F71D8">
        <w:rPr>
          <w:rFonts w:ascii="Palatino Linotype" w:hAnsi="Palatino Linotype"/>
          <w:b/>
          <w:sz w:val="24"/>
          <w:szCs w:val="24"/>
        </w:rPr>
        <w:t>UJETO OBLIGADO,</w:t>
      </w:r>
      <w:r w:rsidRPr="009F71D8">
        <w:rPr>
          <w:rFonts w:ascii="Palatino Linotype" w:hAnsi="Palatino Linotype"/>
          <w:sz w:val="24"/>
          <w:szCs w:val="24"/>
        </w:rPr>
        <w:t xml:space="preserve"> </w:t>
      </w:r>
      <w:r w:rsidR="002906AF">
        <w:rPr>
          <w:rFonts w:ascii="Palatino Linotype" w:hAnsi="Palatino Linotype"/>
          <w:sz w:val="24"/>
          <w:szCs w:val="24"/>
        </w:rPr>
        <w:t>información relacionada con la contratación del servicio de cafetería, durante el periodo del 1 de enero al 30 de octubre de 2018, consistente en:</w:t>
      </w:r>
    </w:p>
    <w:p w:rsidR="00FB32BD" w:rsidRDefault="00FB32BD" w:rsidP="00FB32BD">
      <w:pPr>
        <w:spacing w:after="0" w:line="360" w:lineRule="auto"/>
        <w:jc w:val="both"/>
        <w:rPr>
          <w:rFonts w:ascii="Palatino Linotype" w:hAnsi="Palatino Linotype"/>
          <w:sz w:val="24"/>
          <w:szCs w:val="24"/>
        </w:rPr>
      </w:pPr>
    </w:p>
    <w:p w:rsidR="002906AF" w:rsidRPr="00F73587" w:rsidRDefault="002906AF" w:rsidP="00FB32BD">
      <w:pPr>
        <w:spacing w:before="120" w:after="120" w:line="360" w:lineRule="auto"/>
        <w:ind w:left="851" w:right="902"/>
        <w:jc w:val="both"/>
        <w:rPr>
          <w:rFonts w:ascii="Palatino Linotype" w:eastAsia="Calibri" w:hAnsi="Palatino Linotype" w:cs="Arial"/>
        </w:rPr>
      </w:pPr>
      <w:r w:rsidRPr="00F73587">
        <w:rPr>
          <w:rFonts w:ascii="Palatino Linotype" w:eastAsia="MS Mincho" w:hAnsi="Palatino Linotype" w:cstheme="majorBidi"/>
        </w:rPr>
        <w:t>a)</w:t>
      </w:r>
      <w:r w:rsidRPr="00F73587">
        <w:rPr>
          <w:rFonts w:ascii="Palatino Linotype" w:eastAsia="Calibri" w:hAnsi="Palatino Linotype" w:cs="Arial"/>
        </w:rPr>
        <w:t xml:space="preserve"> Documentación que acredite la forma de contratación del servicio de cafetería;</w:t>
      </w:r>
    </w:p>
    <w:p w:rsidR="002906AF" w:rsidRPr="00F73587" w:rsidRDefault="002906AF" w:rsidP="00FB32BD">
      <w:pPr>
        <w:spacing w:before="120" w:after="120" w:line="360" w:lineRule="auto"/>
        <w:ind w:left="851" w:right="902"/>
        <w:jc w:val="both"/>
        <w:rPr>
          <w:rFonts w:ascii="Palatino Linotype" w:eastAsia="MS Mincho" w:hAnsi="Palatino Linotype" w:cstheme="majorBidi"/>
        </w:rPr>
      </w:pPr>
      <w:r w:rsidRPr="00F73587">
        <w:rPr>
          <w:rFonts w:ascii="Palatino Linotype" w:eastAsia="MS Mincho" w:hAnsi="Palatino Linotype" w:cstheme="majorBidi"/>
        </w:rPr>
        <w:t>b)</w:t>
      </w:r>
      <w:r w:rsidRPr="00F73587">
        <w:rPr>
          <w:rFonts w:ascii="Palatino Linotype" w:eastAsia="Calibri" w:hAnsi="Palatino Linotype" w:cs="Arial"/>
        </w:rPr>
        <w:t xml:space="preserve"> </w:t>
      </w:r>
      <w:r w:rsidRPr="00F73587">
        <w:rPr>
          <w:rFonts w:ascii="Palatino Linotype" w:eastAsia="MS Mincho" w:hAnsi="Palatino Linotype" w:cstheme="majorBidi"/>
        </w:rPr>
        <w:t>Estudio de mercado practicado por el área de compras a proveedores de servicios de cafetería y/o restaurantes, acompañado del tipo de estudio, método de estudio, lista de precios y evaluación final del análisis realizado a cada proveedor;</w:t>
      </w:r>
    </w:p>
    <w:p w:rsidR="002906AF" w:rsidRPr="00F73587" w:rsidRDefault="002906AF" w:rsidP="00FB32BD">
      <w:pPr>
        <w:spacing w:before="120" w:after="120" w:line="360" w:lineRule="auto"/>
        <w:ind w:left="851" w:right="902"/>
        <w:jc w:val="both"/>
        <w:rPr>
          <w:rFonts w:ascii="Palatino Linotype" w:eastAsia="Calibri" w:hAnsi="Palatino Linotype" w:cs="Arial"/>
        </w:rPr>
      </w:pPr>
      <w:r w:rsidRPr="00F73587">
        <w:rPr>
          <w:rFonts w:ascii="Palatino Linotype" w:eastAsia="MS Mincho" w:hAnsi="Palatino Linotype" w:cstheme="majorBidi"/>
        </w:rPr>
        <w:t>c)</w:t>
      </w:r>
      <w:r w:rsidRPr="00F73587">
        <w:rPr>
          <w:rFonts w:ascii="Palatino Linotype" w:eastAsia="Calibri" w:hAnsi="Palatino Linotype" w:cs="Arial"/>
        </w:rPr>
        <w:t xml:space="preserve"> </w:t>
      </w:r>
      <w:r w:rsidR="00F73587" w:rsidRPr="00F73587">
        <w:rPr>
          <w:rFonts w:ascii="Palatino Linotype" w:eastAsia="Calibri" w:hAnsi="Palatino Linotype" w:cs="Arial"/>
        </w:rPr>
        <w:t xml:space="preserve">Currículum </w:t>
      </w:r>
      <w:r w:rsidRPr="00F73587">
        <w:rPr>
          <w:rFonts w:ascii="Palatino Linotype" w:eastAsia="Calibri" w:hAnsi="Palatino Linotype" w:cs="Arial"/>
        </w:rPr>
        <w:t>y experiencia profesional del servicio de cada proveedor;</w:t>
      </w:r>
    </w:p>
    <w:p w:rsidR="002906AF" w:rsidRPr="00F73587" w:rsidRDefault="002906AF" w:rsidP="00FB32BD">
      <w:pPr>
        <w:spacing w:before="120" w:after="120" w:line="360" w:lineRule="auto"/>
        <w:ind w:left="851" w:right="902"/>
        <w:jc w:val="both"/>
        <w:rPr>
          <w:rFonts w:ascii="Palatino Linotype" w:eastAsia="MS Mincho" w:hAnsi="Palatino Linotype" w:cstheme="majorBidi"/>
        </w:rPr>
      </w:pPr>
      <w:r w:rsidRPr="00F73587">
        <w:rPr>
          <w:rFonts w:ascii="Palatino Linotype" w:eastAsia="MS Mincho" w:hAnsi="Palatino Linotype" w:cstheme="majorBidi"/>
        </w:rPr>
        <w:t>d)</w:t>
      </w:r>
      <w:r w:rsidRPr="00F73587">
        <w:rPr>
          <w:rFonts w:ascii="Palatino Linotype" w:eastAsia="Calibri" w:hAnsi="Palatino Linotype" w:cs="Arial"/>
        </w:rPr>
        <w:t xml:space="preserve"> </w:t>
      </w:r>
      <w:r w:rsidRPr="00F73587">
        <w:rPr>
          <w:rFonts w:ascii="Palatino Linotype" w:eastAsia="MS Mincho" w:hAnsi="Palatino Linotype" w:cstheme="majorBidi"/>
        </w:rPr>
        <w:t>Actas de adjudicación y contrato;</w:t>
      </w:r>
    </w:p>
    <w:p w:rsidR="002906AF" w:rsidRPr="00F73587" w:rsidRDefault="002906AF" w:rsidP="00FB32BD">
      <w:pPr>
        <w:spacing w:before="120" w:after="120" w:line="360" w:lineRule="auto"/>
        <w:ind w:left="851" w:right="902"/>
        <w:jc w:val="both"/>
        <w:rPr>
          <w:rFonts w:ascii="Palatino Linotype" w:eastAsia="MS Mincho" w:hAnsi="Palatino Linotype" w:cstheme="majorBidi"/>
        </w:rPr>
      </w:pPr>
      <w:r w:rsidRPr="00F73587">
        <w:rPr>
          <w:rFonts w:ascii="Palatino Linotype" w:eastAsia="MS Mincho" w:hAnsi="Palatino Linotype" w:cstheme="majorBidi"/>
        </w:rPr>
        <w:t>e)</w:t>
      </w:r>
      <w:r w:rsidRPr="00F73587">
        <w:rPr>
          <w:rFonts w:ascii="Palatino Linotype" w:eastAsia="Calibri" w:hAnsi="Palatino Linotype" w:cs="Arial"/>
        </w:rPr>
        <w:t xml:space="preserve"> </w:t>
      </w:r>
      <w:r w:rsidRPr="00F73587">
        <w:rPr>
          <w:rFonts w:ascii="Palatino Linotype" w:eastAsia="MS Mincho" w:hAnsi="Palatino Linotype" w:cstheme="majorBidi"/>
        </w:rPr>
        <w:t>Inscripción al registro federal de contribuyentes;</w:t>
      </w:r>
    </w:p>
    <w:p w:rsidR="002906AF" w:rsidRPr="00F73587" w:rsidRDefault="002906AF" w:rsidP="00FB32BD">
      <w:pPr>
        <w:spacing w:before="120" w:after="120" w:line="360" w:lineRule="auto"/>
        <w:ind w:left="851" w:right="902"/>
        <w:jc w:val="both"/>
        <w:rPr>
          <w:rFonts w:ascii="Palatino Linotype" w:eastAsia="Calibri" w:hAnsi="Palatino Linotype" w:cs="Arial"/>
        </w:rPr>
      </w:pPr>
      <w:r w:rsidRPr="00F73587">
        <w:rPr>
          <w:rFonts w:ascii="Palatino Linotype" w:eastAsia="MS Mincho" w:hAnsi="Palatino Linotype" w:cstheme="majorBidi"/>
        </w:rPr>
        <w:t>f)</w:t>
      </w:r>
      <w:r w:rsidRPr="00F73587">
        <w:rPr>
          <w:rFonts w:ascii="Palatino Linotype" w:eastAsia="Calibri" w:hAnsi="Palatino Linotype" w:cs="Arial"/>
        </w:rPr>
        <w:t xml:space="preserve"> </w:t>
      </w:r>
      <w:r w:rsidR="00F73587" w:rsidRPr="00F73587">
        <w:rPr>
          <w:rFonts w:ascii="Palatino Linotype" w:eastAsia="Calibri" w:hAnsi="Palatino Linotype" w:cs="Arial"/>
        </w:rPr>
        <w:t xml:space="preserve">Aviso </w:t>
      </w:r>
      <w:r w:rsidRPr="00F73587">
        <w:rPr>
          <w:rFonts w:ascii="Palatino Linotype" w:eastAsia="Calibri" w:hAnsi="Palatino Linotype" w:cs="Arial"/>
        </w:rPr>
        <w:t>de declaración de apertura de establecimiento mercantil;</w:t>
      </w:r>
    </w:p>
    <w:p w:rsidR="002906AF" w:rsidRPr="00F73587" w:rsidRDefault="002906AF" w:rsidP="00FB32BD">
      <w:pPr>
        <w:spacing w:before="120" w:after="120" w:line="360" w:lineRule="auto"/>
        <w:ind w:left="851" w:right="902"/>
        <w:jc w:val="both"/>
        <w:rPr>
          <w:rFonts w:ascii="Palatino Linotype" w:eastAsia="MS Mincho" w:hAnsi="Palatino Linotype" w:cstheme="majorBidi"/>
        </w:rPr>
      </w:pPr>
      <w:r w:rsidRPr="00F73587">
        <w:rPr>
          <w:rFonts w:ascii="Palatino Linotype" w:eastAsia="MS Mincho" w:hAnsi="Palatino Linotype" w:cstheme="majorBidi"/>
        </w:rPr>
        <w:t>g)</w:t>
      </w:r>
      <w:r w:rsidRPr="00F73587">
        <w:rPr>
          <w:rFonts w:ascii="Palatino Linotype" w:eastAsia="Calibri" w:hAnsi="Palatino Linotype" w:cs="Arial"/>
        </w:rPr>
        <w:t xml:space="preserve"> </w:t>
      </w:r>
      <w:r w:rsidR="00F73587" w:rsidRPr="00F73587">
        <w:rPr>
          <w:rFonts w:ascii="Palatino Linotype" w:eastAsia="MS Mincho" w:hAnsi="Palatino Linotype" w:cstheme="majorBidi"/>
        </w:rPr>
        <w:t xml:space="preserve">Licencia </w:t>
      </w:r>
      <w:r w:rsidRPr="00F73587">
        <w:rPr>
          <w:rFonts w:ascii="Palatino Linotype" w:eastAsia="MS Mincho" w:hAnsi="Palatino Linotype" w:cstheme="majorBidi"/>
        </w:rPr>
        <w:t>de funcionamiento;</w:t>
      </w:r>
    </w:p>
    <w:p w:rsidR="00F73587" w:rsidRPr="00F73587" w:rsidRDefault="00F73587" w:rsidP="00FB32BD">
      <w:pPr>
        <w:spacing w:before="120" w:after="120" w:line="360" w:lineRule="auto"/>
        <w:ind w:left="851" w:right="902"/>
        <w:jc w:val="both"/>
        <w:rPr>
          <w:rFonts w:ascii="Palatino Linotype" w:eastAsia="MS Mincho" w:hAnsi="Palatino Linotype" w:cstheme="majorBidi"/>
        </w:rPr>
      </w:pPr>
      <w:r w:rsidRPr="00F73587">
        <w:rPr>
          <w:rFonts w:ascii="Palatino Linotype" w:eastAsia="MS Mincho" w:hAnsi="Palatino Linotype" w:cstheme="majorBidi"/>
        </w:rPr>
        <w:t>h)</w:t>
      </w:r>
      <w:r w:rsidRPr="00F73587">
        <w:rPr>
          <w:rFonts w:ascii="Palatino Linotype" w:eastAsia="Calibri" w:hAnsi="Palatino Linotype" w:cs="Arial"/>
        </w:rPr>
        <w:t xml:space="preserve"> </w:t>
      </w:r>
      <w:r w:rsidRPr="00F73587">
        <w:rPr>
          <w:rFonts w:ascii="Palatino Linotype" w:eastAsia="MS Mincho" w:hAnsi="Palatino Linotype" w:cstheme="majorBidi"/>
        </w:rPr>
        <w:t>Certificación sanitaria de alimentos;</w:t>
      </w:r>
    </w:p>
    <w:p w:rsidR="00F73587" w:rsidRPr="00F73587" w:rsidRDefault="00F73587" w:rsidP="00FB32BD">
      <w:pPr>
        <w:spacing w:before="120" w:after="120" w:line="360" w:lineRule="auto"/>
        <w:ind w:left="851" w:right="902"/>
        <w:jc w:val="both"/>
        <w:rPr>
          <w:rFonts w:ascii="Palatino Linotype" w:eastAsia="MS Mincho" w:hAnsi="Palatino Linotype" w:cstheme="majorBidi"/>
        </w:rPr>
      </w:pPr>
      <w:r w:rsidRPr="00F73587">
        <w:rPr>
          <w:rFonts w:ascii="Palatino Linotype" w:eastAsia="MS Mincho" w:hAnsi="Palatino Linotype" w:cstheme="majorBidi"/>
        </w:rPr>
        <w:t>i)</w:t>
      </w:r>
      <w:r w:rsidRPr="00F73587">
        <w:rPr>
          <w:rFonts w:ascii="Palatino Linotype" w:eastAsia="Calibri" w:hAnsi="Palatino Linotype" w:cs="Arial"/>
        </w:rPr>
        <w:t xml:space="preserve"> </w:t>
      </w:r>
      <w:r w:rsidRPr="00F73587">
        <w:rPr>
          <w:rFonts w:ascii="Palatino Linotype" w:eastAsia="MS Mincho" w:hAnsi="Palatino Linotype" w:cstheme="majorBidi"/>
        </w:rPr>
        <w:t>De no contar con alguno de estos documentos, se solicita un escrito firmado por la autoridad superior del Tecnológico y avalado por la contraloría o el área de auditoría, en el cual se justifique la omisión de estos;</w:t>
      </w:r>
    </w:p>
    <w:p w:rsidR="00F73587" w:rsidRPr="00F73587" w:rsidRDefault="00F73587" w:rsidP="00FB32BD">
      <w:pPr>
        <w:spacing w:before="120" w:after="120" w:line="360" w:lineRule="auto"/>
        <w:ind w:left="851" w:right="902"/>
        <w:jc w:val="both"/>
        <w:rPr>
          <w:rFonts w:ascii="Palatino Linotype" w:eastAsia="MS Mincho" w:hAnsi="Palatino Linotype" w:cstheme="majorBidi"/>
        </w:rPr>
      </w:pPr>
      <w:r w:rsidRPr="00F73587">
        <w:rPr>
          <w:rFonts w:ascii="Palatino Linotype" w:eastAsia="MS Mincho" w:hAnsi="Palatino Linotype" w:cstheme="majorBidi"/>
        </w:rPr>
        <w:t>j)</w:t>
      </w:r>
      <w:r w:rsidRPr="00F73587">
        <w:rPr>
          <w:rFonts w:ascii="Palatino Linotype" w:eastAsia="Calibri" w:hAnsi="Palatino Linotype" w:cs="Arial"/>
        </w:rPr>
        <w:t xml:space="preserve"> </w:t>
      </w:r>
      <w:r w:rsidRPr="00F73587">
        <w:rPr>
          <w:rFonts w:ascii="Palatino Linotype" w:eastAsia="MS Mincho" w:hAnsi="Palatino Linotype" w:cstheme="majorBidi"/>
        </w:rPr>
        <w:t>Copia del pago mensual de renta, aportación, donación y/o contraprestación por el espacio otorgado en concesión;</w:t>
      </w:r>
    </w:p>
    <w:p w:rsidR="00F73587" w:rsidRPr="00F73587" w:rsidRDefault="00F73587" w:rsidP="00FB32BD">
      <w:pPr>
        <w:spacing w:before="120" w:after="120" w:line="360" w:lineRule="auto"/>
        <w:ind w:left="851" w:right="902"/>
        <w:jc w:val="both"/>
        <w:rPr>
          <w:rFonts w:ascii="Palatino Linotype" w:eastAsia="MS Mincho" w:hAnsi="Palatino Linotype" w:cstheme="majorBidi"/>
        </w:rPr>
      </w:pPr>
      <w:r w:rsidRPr="00F73587">
        <w:rPr>
          <w:rFonts w:ascii="Palatino Linotype" w:eastAsia="MS Mincho" w:hAnsi="Palatino Linotype" w:cstheme="majorBidi"/>
        </w:rPr>
        <w:t>k)</w:t>
      </w:r>
      <w:r w:rsidRPr="00F73587">
        <w:rPr>
          <w:rFonts w:ascii="Palatino Linotype" w:eastAsia="Calibri" w:hAnsi="Palatino Linotype" w:cs="Arial"/>
        </w:rPr>
        <w:t xml:space="preserve"> </w:t>
      </w:r>
      <w:r w:rsidRPr="00F73587">
        <w:rPr>
          <w:rFonts w:ascii="Palatino Linotype" w:eastAsia="MS Mincho" w:hAnsi="Palatino Linotype" w:cstheme="majorBidi"/>
        </w:rPr>
        <w:t xml:space="preserve">Documentación y archivos digitales que acrediten en cumplimiento al protocolo de actuación de los servidores públicos que intervienen en las </w:t>
      </w:r>
      <w:r w:rsidRPr="00F73587">
        <w:rPr>
          <w:rFonts w:ascii="Palatino Linotype" w:eastAsia="MS Mincho" w:hAnsi="Palatino Linotype" w:cstheme="majorBidi"/>
        </w:rPr>
        <w:lastRenderedPageBreak/>
        <w:t>contrataciones públicas, de cada uno de los eventos llevados a cabo en el proceso de invitación, acto de contratación y selección del proveedor;</w:t>
      </w:r>
    </w:p>
    <w:p w:rsidR="00F73587" w:rsidRPr="00F73587" w:rsidRDefault="00F73587" w:rsidP="00FB32BD">
      <w:pPr>
        <w:spacing w:before="120" w:after="120" w:line="360" w:lineRule="auto"/>
        <w:ind w:left="851" w:right="902"/>
        <w:jc w:val="both"/>
        <w:rPr>
          <w:rFonts w:ascii="Palatino Linotype" w:eastAsia="MS Mincho" w:hAnsi="Palatino Linotype" w:cstheme="majorBidi"/>
        </w:rPr>
      </w:pPr>
      <w:r w:rsidRPr="00F73587">
        <w:rPr>
          <w:rFonts w:ascii="Palatino Linotype" w:eastAsia="MS Mincho" w:hAnsi="Palatino Linotype" w:cstheme="majorBidi"/>
        </w:rPr>
        <w:t>l)</w:t>
      </w:r>
      <w:r w:rsidRPr="00F73587">
        <w:rPr>
          <w:rFonts w:ascii="Palatino Linotype" w:eastAsia="Calibri" w:hAnsi="Palatino Linotype" w:cs="Arial"/>
        </w:rPr>
        <w:t xml:space="preserve"> </w:t>
      </w:r>
      <w:r w:rsidRPr="00F73587">
        <w:rPr>
          <w:rFonts w:ascii="Palatino Linotype" w:eastAsia="MS Mincho" w:hAnsi="Palatino Linotype" w:cstheme="majorBidi"/>
        </w:rPr>
        <w:t>Manifestación de no conflicto de intereses con el ejercicio legal del proveedores analizados en el estudio de mercado y con la toma de decisiones del proveedor seleccionad por parte de los Integrantes del comité adquisiciones y personal de compras, en donde se manifieste no haber intereses o relaciones laborales, de negocios, familiares, personales (amistad) o profesionales; y</w:t>
      </w:r>
    </w:p>
    <w:p w:rsidR="00F73587" w:rsidRPr="00F73587" w:rsidRDefault="00F73587" w:rsidP="00FB32BD">
      <w:pPr>
        <w:spacing w:before="120" w:after="120" w:line="360" w:lineRule="auto"/>
        <w:ind w:left="851" w:right="902"/>
        <w:jc w:val="both"/>
        <w:rPr>
          <w:rFonts w:ascii="Palatino Linotype" w:hAnsi="Palatino Linotype"/>
        </w:rPr>
      </w:pPr>
      <w:r w:rsidRPr="00F73587">
        <w:rPr>
          <w:rFonts w:ascii="Palatino Linotype" w:eastAsia="MS Mincho" w:hAnsi="Palatino Linotype" w:cstheme="majorBidi"/>
        </w:rPr>
        <w:t>m) Informes de revisiones, auditorías o inspecciones realizadas por autoridades normativas de auditoria interna y fiscalizadores externos municipales, estatales o federales, a los servicio de cafetería escolar.</w:t>
      </w:r>
    </w:p>
    <w:p w:rsidR="00FB32BD" w:rsidRDefault="00FB32BD" w:rsidP="00FB32BD">
      <w:pPr>
        <w:spacing w:after="0" w:line="360" w:lineRule="auto"/>
        <w:ind w:right="49"/>
        <w:jc w:val="both"/>
        <w:rPr>
          <w:rFonts w:ascii="Palatino Linotype" w:hAnsi="Palatino Linotype" w:cs="Arial"/>
          <w:sz w:val="24"/>
          <w:szCs w:val="24"/>
        </w:rPr>
      </w:pPr>
    </w:p>
    <w:p w:rsidR="00F73587" w:rsidRDefault="00A15DFF" w:rsidP="00FB32BD">
      <w:pPr>
        <w:spacing w:after="0" w:line="360" w:lineRule="auto"/>
        <w:ind w:right="49"/>
        <w:jc w:val="both"/>
        <w:rPr>
          <w:rFonts w:ascii="Palatino Linotype" w:hAnsi="Palatino Linotype" w:cs="Arial"/>
          <w:sz w:val="24"/>
          <w:szCs w:val="24"/>
        </w:rPr>
      </w:pPr>
      <w:r>
        <w:rPr>
          <w:rFonts w:ascii="Palatino Linotype" w:hAnsi="Palatino Linotype" w:cs="Arial"/>
          <w:sz w:val="24"/>
          <w:szCs w:val="24"/>
        </w:rPr>
        <w:t xml:space="preserve">Así, en lo conducente de su respuesta </w:t>
      </w:r>
      <w:r w:rsidR="00F73587">
        <w:rPr>
          <w:rFonts w:ascii="Palatino Linotype" w:hAnsi="Palatino Linotype" w:cs="Arial"/>
          <w:b/>
          <w:sz w:val="24"/>
          <w:szCs w:val="24"/>
        </w:rPr>
        <w:t xml:space="preserve">EL SUJETO OBLIGADO </w:t>
      </w:r>
      <w:r w:rsidR="00F73587">
        <w:rPr>
          <w:rFonts w:ascii="Palatino Linotype" w:hAnsi="Palatino Linotype" w:cs="Arial"/>
          <w:sz w:val="24"/>
          <w:szCs w:val="24"/>
        </w:rPr>
        <w:t>adjuntó dos archivos electrónicos mediante los cuales, hizo entrega de parte de la información solicitada el particular.</w:t>
      </w:r>
    </w:p>
    <w:p w:rsidR="00FB32BD" w:rsidRPr="00F73587" w:rsidRDefault="00FB32BD" w:rsidP="00FB32BD">
      <w:pPr>
        <w:spacing w:after="0" w:line="360" w:lineRule="auto"/>
        <w:ind w:right="49"/>
        <w:jc w:val="both"/>
        <w:rPr>
          <w:rFonts w:ascii="Palatino Linotype" w:hAnsi="Palatino Linotype" w:cs="Arial"/>
          <w:sz w:val="24"/>
          <w:szCs w:val="24"/>
        </w:rPr>
      </w:pPr>
    </w:p>
    <w:p w:rsidR="00A15DFF" w:rsidRDefault="00A15DFF" w:rsidP="00FB32BD">
      <w:pPr>
        <w:spacing w:after="0" w:line="360" w:lineRule="auto"/>
        <w:ind w:right="49"/>
        <w:jc w:val="both"/>
        <w:rPr>
          <w:rFonts w:ascii="Palatino Linotype" w:hAnsi="Palatino Linotype" w:cs="Arial"/>
          <w:sz w:val="24"/>
          <w:szCs w:val="24"/>
        </w:rPr>
      </w:pPr>
      <w:r>
        <w:rPr>
          <w:rFonts w:ascii="Palatino Linotype" w:hAnsi="Palatino Linotype" w:cs="Arial"/>
          <w:sz w:val="24"/>
          <w:szCs w:val="24"/>
        </w:rPr>
        <w:t xml:space="preserve">Inconforme con dicha respuesta, </w:t>
      </w:r>
      <w:r w:rsidR="00310F76">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interpuso e</w:t>
      </w:r>
      <w:r w:rsidR="00AE2F20">
        <w:rPr>
          <w:rFonts w:ascii="Palatino Linotype" w:hAnsi="Palatino Linotype" w:cs="Arial"/>
          <w:sz w:val="24"/>
          <w:szCs w:val="24"/>
        </w:rPr>
        <w:t>l recurso de revisión de mérito, argumentando que la información que le fue proporcionada se encontraba incompleta.</w:t>
      </w:r>
    </w:p>
    <w:p w:rsidR="00FB32BD" w:rsidRDefault="00FB32BD" w:rsidP="00FB32BD">
      <w:pPr>
        <w:spacing w:after="0" w:line="360" w:lineRule="auto"/>
        <w:ind w:right="49"/>
        <w:jc w:val="both"/>
        <w:rPr>
          <w:rFonts w:ascii="Palatino Linotype" w:hAnsi="Palatino Linotype" w:cs="Arial"/>
          <w:sz w:val="24"/>
          <w:szCs w:val="24"/>
        </w:rPr>
      </w:pPr>
    </w:p>
    <w:p w:rsidR="00A15DFF" w:rsidRDefault="00A15DFF" w:rsidP="00FB32BD">
      <w:pPr>
        <w:spacing w:after="0" w:line="360" w:lineRule="auto"/>
        <w:ind w:right="49"/>
        <w:jc w:val="both"/>
        <w:rPr>
          <w:rFonts w:ascii="Palatino Linotype" w:hAnsi="Palatino Linotype" w:cs="Arial"/>
          <w:sz w:val="24"/>
          <w:szCs w:val="24"/>
        </w:rPr>
      </w:pPr>
      <w:r>
        <w:rPr>
          <w:rFonts w:ascii="Palatino Linotype" w:hAnsi="Palatino Linotype" w:cs="Arial"/>
          <w:sz w:val="24"/>
          <w:szCs w:val="24"/>
        </w:rPr>
        <w:t xml:space="preserve">Bajo ese orden de ideas, </w:t>
      </w:r>
      <w:r>
        <w:rPr>
          <w:rFonts w:ascii="Palatino Linotype" w:hAnsi="Palatino Linotype" w:cs="Arial"/>
          <w:b/>
          <w:sz w:val="24"/>
          <w:szCs w:val="24"/>
        </w:rPr>
        <w:t xml:space="preserve">EL SUJETO OBLIGADO </w:t>
      </w:r>
      <w:r>
        <w:rPr>
          <w:rFonts w:ascii="Palatino Linotype" w:hAnsi="Palatino Linotype" w:cs="Arial"/>
          <w:sz w:val="24"/>
          <w:szCs w:val="24"/>
        </w:rPr>
        <w:t xml:space="preserve">mediante el Informe Justificado ratificó </w:t>
      </w:r>
      <w:r w:rsidR="00AE2F20">
        <w:rPr>
          <w:rFonts w:ascii="Palatino Linotype" w:hAnsi="Palatino Linotype" w:cs="Arial"/>
          <w:sz w:val="24"/>
          <w:szCs w:val="24"/>
        </w:rPr>
        <w:t xml:space="preserve">esencialmente </w:t>
      </w:r>
      <w:r>
        <w:rPr>
          <w:rFonts w:ascii="Palatino Linotype" w:hAnsi="Palatino Linotype" w:cs="Arial"/>
          <w:sz w:val="24"/>
          <w:szCs w:val="24"/>
        </w:rPr>
        <w:t xml:space="preserve">su respuesta. </w:t>
      </w:r>
    </w:p>
    <w:p w:rsidR="00FB32BD" w:rsidRDefault="00FB32BD" w:rsidP="00FB32BD">
      <w:pPr>
        <w:spacing w:after="0" w:line="360" w:lineRule="auto"/>
        <w:ind w:right="49"/>
        <w:jc w:val="both"/>
        <w:rPr>
          <w:rFonts w:ascii="Palatino Linotype" w:hAnsi="Palatino Linotype" w:cs="Arial"/>
          <w:sz w:val="24"/>
          <w:szCs w:val="24"/>
        </w:rPr>
      </w:pPr>
    </w:p>
    <w:p w:rsidR="00A15DFF" w:rsidRDefault="00A15DFF" w:rsidP="00FB32BD">
      <w:pPr>
        <w:spacing w:after="0" w:line="360" w:lineRule="auto"/>
        <w:ind w:right="49"/>
        <w:jc w:val="both"/>
        <w:rPr>
          <w:rFonts w:ascii="Palatino Linotype" w:eastAsia="Calibri" w:hAnsi="Palatino Linotype" w:cs="Arial"/>
          <w:sz w:val="24"/>
          <w:szCs w:val="24"/>
          <w:lang w:val="es-ES" w:eastAsia="es-ES"/>
        </w:rPr>
      </w:pPr>
      <w:r>
        <w:rPr>
          <w:rFonts w:ascii="Palatino Linotype" w:hAnsi="Palatino Linotype" w:cs="Arial"/>
          <w:sz w:val="24"/>
          <w:szCs w:val="24"/>
        </w:rPr>
        <w:lastRenderedPageBreak/>
        <w:t xml:space="preserve">Así, de las constancias que obran en el expediente electrónico del SAIMEX, </w:t>
      </w:r>
      <w:r w:rsidRPr="009F71D8">
        <w:rPr>
          <w:rFonts w:ascii="Palatino Linotype" w:hAnsi="Palatino Linotype" w:cs="Arial"/>
          <w:sz w:val="24"/>
          <w:szCs w:val="24"/>
        </w:rPr>
        <w:t xml:space="preserve">la Ponencia Resolutora determinó </w:t>
      </w:r>
      <w:r w:rsidRPr="006A35A6">
        <w:rPr>
          <w:rFonts w:ascii="Palatino Linotype" w:eastAsia="Calibri" w:hAnsi="Palatino Linotype" w:cs="Arial"/>
          <w:b/>
          <w:sz w:val="24"/>
          <w:szCs w:val="24"/>
          <w:lang w:val="es-ES" w:eastAsia="es-ES"/>
        </w:rPr>
        <w:t>MODIFICA</w:t>
      </w:r>
      <w:r>
        <w:rPr>
          <w:rFonts w:ascii="Palatino Linotype" w:eastAsia="Calibri" w:hAnsi="Palatino Linotype" w:cs="Arial"/>
          <w:b/>
          <w:sz w:val="24"/>
          <w:szCs w:val="24"/>
          <w:lang w:val="es-ES" w:eastAsia="es-ES"/>
        </w:rPr>
        <w:t xml:space="preserve">R </w:t>
      </w:r>
      <w:r w:rsidRPr="006A35A6">
        <w:rPr>
          <w:rFonts w:ascii="Palatino Linotype" w:eastAsia="Calibri" w:hAnsi="Palatino Linotype" w:cs="Arial"/>
          <w:sz w:val="24"/>
          <w:szCs w:val="24"/>
          <w:lang w:val="es-ES" w:eastAsia="es-ES"/>
        </w:rPr>
        <w:t>la respuesta</w:t>
      </w:r>
      <w:r>
        <w:rPr>
          <w:rFonts w:ascii="Palatino Linotype" w:eastAsia="Calibri" w:hAnsi="Palatino Linotype" w:cs="Arial"/>
          <w:sz w:val="24"/>
          <w:szCs w:val="24"/>
          <w:lang w:val="es-ES" w:eastAsia="es-ES"/>
        </w:rPr>
        <w:t xml:space="preserve"> </w:t>
      </w:r>
      <w:r>
        <w:rPr>
          <w:rFonts w:ascii="Palatino Linotype" w:hAnsi="Palatino Linotype" w:cs="Arial"/>
          <w:sz w:val="24"/>
          <w:szCs w:val="24"/>
        </w:rPr>
        <w:t>de</w:t>
      </w:r>
      <w:r w:rsidR="00AE2F20">
        <w:rPr>
          <w:rFonts w:ascii="Palatino Linotype" w:hAnsi="Palatino Linotype" w:cs="Arial"/>
          <w:sz w:val="24"/>
          <w:szCs w:val="24"/>
        </w:rPr>
        <w:t xml:space="preserve">l </w:t>
      </w:r>
      <w:r w:rsidR="00AE2F20">
        <w:rPr>
          <w:rFonts w:ascii="Palatino Linotype" w:hAnsi="Palatino Linotype" w:cs="Arial"/>
          <w:b/>
          <w:sz w:val="24"/>
          <w:szCs w:val="24"/>
        </w:rPr>
        <w:t xml:space="preserve">SUJETO OBLIGADO </w:t>
      </w:r>
      <w:r w:rsidRPr="006A35A6">
        <w:rPr>
          <w:rFonts w:ascii="Palatino Linotype" w:eastAsia="MS Gothic" w:hAnsi="Palatino Linotype" w:cs="Times New Roman"/>
          <w:sz w:val="24"/>
          <w:szCs w:val="24"/>
        </w:rPr>
        <w:t xml:space="preserve">y </w:t>
      </w:r>
      <w:r w:rsidRPr="006A35A6">
        <w:rPr>
          <w:rFonts w:ascii="Palatino Linotype" w:eastAsia="MS Gothic" w:hAnsi="Palatino Linotype" w:cs="Times New Roman"/>
          <w:b/>
          <w:sz w:val="24"/>
          <w:szCs w:val="24"/>
        </w:rPr>
        <w:t>ORDENA</w:t>
      </w:r>
      <w:r>
        <w:rPr>
          <w:rFonts w:ascii="Palatino Linotype" w:eastAsia="MS Gothic" w:hAnsi="Palatino Linotype" w:cs="Times New Roman"/>
          <w:b/>
          <w:sz w:val="24"/>
          <w:szCs w:val="24"/>
        </w:rPr>
        <w:t>R</w:t>
      </w:r>
      <w:r w:rsidRPr="006A35A6">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 xml:space="preserve">la entrega </w:t>
      </w:r>
      <w:r w:rsidR="00AE2F20">
        <w:rPr>
          <w:rFonts w:ascii="Palatino Linotype" w:eastAsia="Calibri" w:hAnsi="Palatino Linotype" w:cs="Arial"/>
          <w:sz w:val="24"/>
          <w:szCs w:val="24"/>
          <w:lang w:val="es-ES" w:eastAsia="es-ES"/>
        </w:rPr>
        <w:t xml:space="preserve">vía SAIMEX de ser el caso en </w:t>
      </w:r>
      <w:r w:rsidRPr="004D6EEF">
        <w:rPr>
          <w:rFonts w:ascii="Palatino Linotype" w:eastAsia="Calibri" w:hAnsi="Palatino Linotype" w:cs="Arial"/>
          <w:b/>
          <w:sz w:val="24"/>
          <w:szCs w:val="24"/>
          <w:lang w:val="es-ES" w:eastAsia="es-ES"/>
        </w:rPr>
        <w:t>versión pública</w:t>
      </w:r>
      <w:r w:rsidRPr="006A35A6">
        <w:rPr>
          <w:rFonts w:ascii="Palatino Linotype" w:eastAsia="Calibri" w:hAnsi="Palatino Linotype" w:cs="Arial"/>
          <w:sz w:val="24"/>
          <w:szCs w:val="24"/>
          <w:lang w:val="es-ES" w:eastAsia="es-ES"/>
        </w:rPr>
        <w:t xml:space="preserve"> l</w:t>
      </w:r>
      <w:r w:rsidR="007A150F">
        <w:rPr>
          <w:rFonts w:ascii="Palatino Linotype" w:eastAsia="Calibri" w:hAnsi="Palatino Linotype" w:cs="Arial"/>
          <w:sz w:val="24"/>
          <w:szCs w:val="24"/>
          <w:lang w:val="es-ES" w:eastAsia="es-ES"/>
        </w:rPr>
        <w:t>a</w:t>
      </w:r>
      <w:r w:rsidRPr="006A35A6">
        <w:rPr>
          <w:rFonts w:ascii="Palatino Linotype" w:eastAsia="Calibri" w:hAnsi="Palatino Linotype" w:cs="Arial"/>
          <w:sz w:val="24"/>
          <w:szCs w:val="24"/>
          <w:lang w:val="es-ES" w:eastAsia="es-ES"/>
        </w:rPr>
        <w:t xml:space="preserve"> siguiente</w:t>
      </w:r>
      <w:r w:rsidR="007A150F">
        <w:rPr>
          <w:rFonts w:ascii="Palatino Linotype" w:eastAsia="Calibri" w:hAnsi="Palatino Linotype" w:cs="Arial"/>
          <w:sz w:val="24"/>
          <w:szCs w:val="24"/>
          <w:lang w:val="es-ES" w:eastAsia="es-ES"/>
        </w:rPr>
        <w:t xml:space="preserve"> información</w:t>
      </w:r>
      <w:r w:rsidRPr="006A35A6">
        <w:rPr>
          <w:rFonts w:ascii="Palatino Linotype" w:eastAsia="Calibri" w:hAnsi="Palatino Linotype" w:cs="Arial"/>
          <w:sz w:val="24"/>
          <w:szCs w:val="24"/>
          <w:lang w:val="es-ES" w:eastAsia="es-ES"/>
        </w:rPr>
        <w:t xml:space="preserve">: </w:t>
      </w:r>
    </w:p>
    <w:p w:rsidR="00FB32BD" w:rsidRPr="00AE2F20" w:rsidRDefault="00FB32BD" w:rsidP="00FB32BD">
      <w:pPr>
        <w:spacing w:after="0" w:line="360" w:lineRule="auto"/>
        <w:ind w:right="49"/>
        <w:jc w:val="both"/>
        <w:rPr>
          <w:rFonts w:ascii="Palatino Linotype" w:hAnsi="Palatino Linotype" w:cs="Arial"/>
          <w:b/>
          <w:sz w:val="24"/>
          <w:szCs w:val="24"/>
        </w:rPr>
      </w:pPr>
    </w:p>
    <w:p w:rsidR="00AE2F20" w:rsidRPr="007A150F" w:rsidRDefault="00AE2F20" w:rsidP="00FB32BD">
      <w:pPr>
        <w:pStyle w:val="Prrafodelista"/>
        <w:numPr>
          <w:ilvl w:val="0"/>
          <w:numId w:val="2"/>
        </w:numPr>
        <w:spacing w:before="120" w:after="120" w:line="240" w:lineRule="auto"/>
        <w:ind w:left="1276" w:right="902"/>
        <w:contextualSpacing w:val="0"/>
        <w:jc w:val="both"/>
        <w:rPr>
          <w:rFonts w:ascii="Palatino Linotype" w:eastAsia="Calibri" w:hAnsi="Palatino Linotype" w:cs="Arial"/>
          <w:i/>
          <w:lang w:eastAsia="es-ES"/>
        </w:rPr>
      </w:pPr>
      <w:r w:rsidRPr="007A150F">
        <w:rPr>
          <w:rFonts w:ascii="Palatino Linotype" w:eastAsia="MS Mincho" w:hAnsi="Palatino Linotype" w:cstheme="majorBidi"/>
          <w:i/>
          <w:lang w:val="es-ES_tradnl" w:eastAsia="es-ES"/>
        </w:rPr>
        <w:t>Los documentos que integran el procedimiento para el otorgamiento de la concesión para el servicio de cafetería;</w:t>
      </w:r>
    </w:p>
    <w:p w:rsidR="00AE2F20" w:rsidRPr="007A150F" w:rsidRDefault="00AE2F20" w:rsidP="00FB32BD">
      <w:pPr>
        <w:pStyle w:val="Prrafodelista"/>
        <w:numPr>
          <w:ilvl w:val="0"/>
          <w:numId w:val="2"/>
        </w:numPr>
        <w:spacing w:before="120" w:after="120" w:line="240" w:lineRule="auto"/>
        <w:ind w:left="1276" w:right="902"/>
        <w:contextualSpacing w:val="0"/>
        <w:jc w:val="both"/>
        <w:rPr>
          <w:rFonts w:ascii="Palatino Linotype" w:eastAsia="Calibri" w:hAnsi="Palatino Linotype" w:cs="Arial"/>
          <w:i/>
          <w:lang w:eastAsia="es-ES"/>
        </w:rPr>
      </w:pPr>
      <w:r w:rsidRPr="007A150F">
        <w:rPr>
          <w:rFonts w:ascii="Palatino Linotype" w:eastAsia="MS Mincho" w:hAnsi="Palatino Linotype" w:cstheme="majorBidi"/>
          <w:i/>
          <w:lang w:val="es-ES_tradnl" w:eastAsia="es-ES"/>
        </w:rPr>
        <w:t>Los documentos que integran el estudios de mercado practicados;</w:t>
      </w:r>
    </w:p>
    <w:p w:rsidR="00AE2F20" w:rsidRPr="007A150F" w:rsidRDefault="00AE2F20" w:rsidP="00FB32BD">
      <w:pPr>
        <w:pStyle w:val="Prrafodelista"/>
        <w:numPr>
          <w:ilvl w:val="0"/>
          <w:numId w:val="2"/>
        </w:numPr>
        <w:spacing w:before="120" w:after="120" w:line="240" w:lineRule="auto"/>
        <w:ind w:left="1276" w:right="902"/>
        <w:contextualSpacing w:val="0"/>
        <w:jc w:val="both"/>
        <w:rPr>
          <w:rFonts w:ascii="Palatino Linotype" w:eastAsia="Calibri" w:hAnsi="Palatino Linotype" w:cs="Arial"/>
          <w:i/>
          <w:lang w:eastAsia="es-ES"/>
        </w:rPr>
      </w:pPr>
      <w:r w:rsidRPr="007A150F">
        <w:rPr>
          <w:rFonts w:ascii="Palatino Linotype" w:eastAsia="MS Mincho" w:hAnsi="Palatino Linotype" w:cstheme="majorBidi"/>
          <w:i/>
          <w:lang w:val="es-ES_tradnl" w:eastAsia="es-ES"/>
        </w:rPr>
        <w:t>Acta de adjudicación;</w:t>
      </w:r>
    </w:p>
    <w:p w:rsidR="00AE2F20" w:rsidRPr="007A150F" w:rsidRDefault="007A150F" w:rsidP="00FB32BD">
      <w:pPr>
        <w:pStyle w:val="Prrafodelista"/>
        <w:numPr>
          <w:ilvl w:val="0"/>
          <w:numId w:val="2"/>
        </w:numPr>
        <w:spacing w:before="120" w:after="120" w:line="240" w:lineRule="auto"/>
        <w:ind w:left="1276" w:right="902"/>
        <w:contextualSpacing w:val="0"/>
        <w:jc w:val="both"/>
        <w:rPr>
          <w:rFonts w:ascii="Palatino Linotype" w:eastAsia="Calibri" w:hAnsi="Palatino Linotype" w:cs="Arial"/>
          <w:i/>
          <w:lang w:eastAsia="es-ES"/>
        </w:rPr>
      </w:pPr>
      <w:r>
        <w:rPr>
          <w:rFonts w:ascii="Palatino Linotype" w:eastAsia="MS Mincho" w:hAnsi="Palatino Linotype" w:cstheme="majorBidi"/>
          <w:i/>
          <w:lang w:val="es-ES_tradnl" w:eastAsia="es-ES"/>
        </w:rPr>
        <w:t>Currí</w:t>
      </w:r>
      <w:r w:rsidR="00AE2F20" w:rsidRPr="007A150F">
        <w:rPr>
          <w:rFonts w:ascii="Palatino Linotype" w:eastAsia="MS Mincho" w:hAnsi="Palatino Linotype" w:cstheme="majorBidi"/>
          <w:i/>
          <w:lang w:val="es-ES_tradnl" w:eastAsia="es-ES"/>
        </w:rPr>
        <w:t>culum y experiencia profesional del servicio a prestar de cada proveedor;</w:t>
      </w:r>
    </w:p>
    <w:p w:rsidR="00AE2F20" w:rsidRPr="007A150F" w:rsidRDefault="00AE2F20" w:rsidP="00FB32BD">
      <w:pPr>
        <w:pStyle w:val="Prrafodelista"/>
        <w:numPr>
          <w:ilvl w:val="0"/>
          <w:numId w:val="2"/>
        </w:numPr>
        <w:spacing w:before="120" w:after="120" w:line="240" w:lineRule="auto"/>
        <w:ind w:left="1276" w:right="902"/>
        <w:contextualSpacing w:val="0"/>
        <w:jc w:val="both"/>
        <w:rPr>
          <w:rFonts w:ascii="Palatino Linotype" w:eastAsia="Calibri" w:hAnsi="Palatino Linotype" w:cs="Arial"/>
          <w:i/>
          <w:lang w:eastAsia="es-ES"/>
        </w:rPr>
      </w:pPr>
      <w:r w:rsidRPr="007A150F">
        <w:rPr>
          <w:rFonts w:ascii="Palatino Linotype" w:eastAsia="MS Mincho" w:hAnsi="Palatino Linotype" w:cstheme="majorBidi"/>
          <w:i/>
          <w:lang w:val="es-ES_tradnl" w:eastAsia="es-ES"/>
        </w:rPr>
        <w:t>Certificación sanitaria de alimentos;</w:t>
      </w:r>
    </w:p>
    <w:p w:rsidR="00AE2F20" w:rsidRPr="007A150F" w:rsidRDefault="00AE2F20" w:rsidP="00FB32BD">
      <w:pPr>
        <w:pStyle w:val="Prrafodelista"/>
        <w:numPr>
          <w:ilvl w:val="0"/>
          <w:numId w:val="2"/>
        </w:numPr>
        <w:spacing w:before="120" w:after="120" w:line="240" w:lineRule="auto"/>
        <w:ind w:left="1276" w:right="902"/>
        <w:contextualSpacing w:val="0"/>
        <w:jc w:val="both"/>
        <w:rPr>
          <w:rFonts w:ascii="Palatino Linotype" w:eastAsia="Calibri" w:hAnsi="Palatino Linotype" w:cs="Arial"/>
          <w:i/>
          <w:lang w:eastAsia="es-ES"/>
        </w:rPr>
      </w:pPr>
      <w:r w:rsidRPr="007A150F">
        <w:rPr>
          <w:rFonts w:ascii="Palatino Linotype" w:eastAsia="Calibri" w:hAnsi="Palatino Linotype" w:cs="Arial"/>
          <w:i/>
          <w:lang w:eastAsia="es-ES"/>
        </w:rPr>
        <w:t>Aviso de declaración de apertura de establecimiento comercial;</w:t>
      </w:r>
    </w:p>
    <w:p w:rsidR="00AE2F20" w:rsidRPr="007A150F" w:rsidRDefault="00AE2F20" w:rsidP="00FB32BD">
      <w:pPr>
        <w:pStyle w:val="Prrafodelista"/>
        <w:numPr>
          <w:ilvl w:val="0"/>
          <w:numId w:val="2"/>
        </w:numPr>
        <w:spacing w:before="120" w:after="120" w:line="240" w:lineRule="auto"/>
        <w:ind w:left="1276" w:right="902"/>
        <w:contextualSpacing w:val="0"/>
        <w:jc w:val="both"/>
        <w:rPr>
          <w:rFonts w:ascii="Palatino Linotype" w:eastAsia="Calibri" w:hAnsi="Palatino Linotype" w:cs="Arial"/>
          <w:i/>
          <w:lang w:eastAsia="es-ES"/>
        </w:rPr>
      </w:pPr>
      <w:r w:rsidRPr="007A150F">
        <w:rPr>
          <w:rFonts w:ascii="Palatino Linotype" w:eastAsia="Calibri" w:hAnsi="Palatino Linotype" w:cs="Arial"/>
          <w:i/>
          <w:lang w:eastAsia="es-ES"/>
        </w:rPr>
        <w:t>Licencia de funcionamiento;</w:t>
      </w:r>
    </w:p>
    <w:p w:rsidR="00AE2F20" w:rsidRPr="007A150F" w:rsidRDefault="00AE2F20" w:rsidP="00FB32BD">
      <w:pPr>
        <w:pStyle w:val="Prrafodelista"/>
        <w:numPr>
          <w:ilvl w:val="0"/>
          <w:numId w:val="2"/>
        </w:numPr>
        <w:spacing w:before="120" w:after="120" w:line="240" w:lineRule="auto"/>
        <w:ind w:left="1276" w:right="902"/>
        <w:contextualSpacing w:val="0"/>
        <w:jc w:val="both"/>
        <w:rPr>
          <w:rFonts w:ascii="Palatino Linotype" w:eastAsia="Calibri" w:hAnsi="Palatino Linotype" w:cs="Arial"/>
          <w:i/>
          <w:lang w:eastAsia="es-ES"/>
        </w:rPr>
      </w:pPr>
      <w:r w:rsidRPr="007A150F">
        <w:rPr>
          <w:rFonts w:ascii="Palatino Linotype" w:eastAsia="Calibri" w:hAnsi="Palatino Linotype" w:cs="Arial"/>
          <w:i/>
          <w:lang w:eastAsia="es-ES"/>
        </w:rPr>
        <w:t>Documento que acredite la contraprestación por el uso del espacio en donde se brindan los servicios de cafetería;</w:t>
      </w:r>
    </w:p>
    <w:p w:rsidR="00AE2F20" w:rsidRPr="007A150F" w:rsidRDefault="00AE2F20" w:rsidP="00FB32BD">
      <w:pPr>
        <w:pStyle w:val="Prrafodelista"/>
        <w:numPr>
          <w:ilvl w:val="0"/>
          <w:numId w:val="2"/>
        </w:numPr>
        <w:spacing w:before="120" w:after="120" w:line="240" w:lineRule="auto"/>
        <w:ind w:left="1276" w:right="902"/>
        <w:contextualSpacing w:val="0"/>
        <w:jc w:val="both"/>
        <w:rPr>
          <w:rFonts w:ascii="Palatino Linotype" w:eastAsia="Calibri" w:hAnsi="Palatino Linotype" w:cs="Arial"/>
          <w:i/>
          <w:lang w:eastAsia="es-ES"/>
        </w:rPr>
      </w:pPr>
      <w:r w:rsidRPr="007A150F">
        <w:rPr>
          <w:rFonts w:ascii="Palatino Linotype" w:eastAsia="Calibri" w:hAnsi="Palatino Linotype" w:cs="Arial"/>
          <w:i/>
          <w:lang w:eastAsia="es-ES"/>
        </w:rPr>
        <w:t>Documentación que acredite el cumplimiento del Protocolo de Actuación de los Servidores Públicos que intervienen en las contrataciones;</w:t>
      </w:r>
    </w:p>
    <w:p w:rsidR="00AE2F20" w:rsidRPr="007A150F" w:rsidRDefault="00AE2F20" w:rsidP="00FB32BD">
      <w:pPr>
        <w:pStyle w:val="Prrafodelista"/>
        <w:numPr>
          <w:ilvl w:val="0"/>
          <w:numId w:val="2"/>
        </w:numPr>
        <w:spacing w:before="120" w:after="120" w:line="240" w:lineRule="auto"/>
        <w:ind w:left="1276" w:right="902"/>
        <w:contextualSpacing w:val="0"/>
        <w:jc w:val="both"/>
        <w:rPr>
          <w:rFonts w:ascii="Palatino Linotype" w:eastAsia="Calibri" w:hAnsi="Palatino Linotype" w:cs="Arial"/>
          <w:i/>
          <w:lang w:eastAsia="es-ES"/>
        </w:rPr>
      </w:pPr>
      <w:r w:rsidRPr="007A150F">
        <w:rPr>
          <w:rFonts w:ascii="Palatino Linotype" w:eastAsia="Calibri" w:hAnsi="Palatino Linotype" w:cs="Arial"/>
          <w:i/>
          <w:lang w:eastAsia="es-ES"/>
        </w:rPr>
        <w:t>Manifestación de conflicto de interés de los servidores públicos que hayan participado en el procedimiento de adjudicación, licitación o equivalente; e,</w:t>
      </w:r>
    </w:p>
    <w:p w:rsidR="00AE2F20" w:rsidRDefault="00AE2F20" w:rsidP="00FB32BD">
      <w:pPr>
        <w:pStyle w:val="Prrafodelista"/>
        <w:numPr>
          <w:ilvl w:val="0"/>
          <w:numId w:val="2"/>
        </w:numPr>
        <w:spacing w:before="120" w:after="120" w:line="240" w:lineRule="auto"/>
        <w:ind w:left="1276" w:right="902"/>
        <w:contextualSpacing w:val="0"/>
        <w:jc w:val="both"/>
        <w:rPr>
          <w:rFonts w:ascii="Palatino Linotype" w:eastAsia="Calibri" w:hAnsi="Palatino Linotype" w:cs="Arial"/>
          <w:i/>
          <w:lang w:eastAsia="es-ES"/>
        </w:rPr>
      </w:pPr>
      <w:r w:rsidRPr="007A150F">
        <w:rPr>
          <w:rFonts w:ascii="Palatino Linotype" w:eastAsia="Calibri" w:hAnsi="Palatino Linotype" w:cs="Arial"/>
          <w:i/>
          <w:lang w:eastAsia="es-ES"/>
        </w:rPr>
        <w:t>Informes de revisiones, auditorías o inspecciones realizadas.</w:t>
      </w:r>
    </w:p>
    <w:p w:rsidR="00FB32BD" w:rsidRPr="007A150F" w:rsidRDefault="00FB32BD" w:rsidP="00FB32BD">
      <w:pPr>
        <w:pStyle w:val="Prrafodelista"/>
        <w:numPr>
          <w:ilvl w:val="0"/>
          <w:numId w:val="2"/>
        </w:numPr>
        <w:spacing w:before="120" w:after="120" w:line="240" w:lineRule="auto"/>
        <w:ind w:left="1276" w:right="902"/>
        <w:contextualSpacing w:val="0"/>
        <w:jc w:val="both"/>
        <w:rPr>
          <w:rFonts w:ascii="Palatino Linotype" w:eastAsia="Calibri" w:hAnsi="Palatino Linotype" w:cs="Arial"/>
          <w:i/>
          <w:lang w:eastAsia="es-ES"/>
        </w:rPr>
      </w:pPr>
    </w:p>
    <w:p w:rsidR="00AE2F20" w:rsidRDefault="00AE2F20" w:rsidP="00FB32BD">
      <w:pPr>
        <w:tabs>
          <w:tab w:val="left" w:pos="7938"/>
        </w:tabs>
        <w:spacing w:before="120" w:after="120" w:line="240" w:lineRule="auto"/>
        <w:ind w:left="1276" w:right="902"/>
        <w:jc w:val="both"/>
        <w:rPr>
          <w:rFonts w:ascii="Palatino Linotype" w:eastAsia="MS Mincho" w:hAnsi="Palatino Linotype" w:cs="Times New Roman"/>
          <w:i/>
          <w:lang w:val="es-ES_tradnl" w:eastAsia="es-ES"/>
        </w:rPr>
      </w:pPr>
      <w:r w:rsidRPr="007A150F">
        <w:rPr>
          <w:rFonts w:ascii="Palatino Linotype" w:eastAsia="Calibri" w:hAnsi="Palatino Linotype" w:cs="Arial"/>
          <w:i/>
          <w:lang w:val="es-ES" w:eastAsia="es-ES"/>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7A150F">
        <w:rPr>
          <w:rFonts w:ascii="Palatino Linotype" w:eastAsia="Calibri" w:hAnsi="Palatino Linotype" w:cs="Arial"/>
          <w:i/>
          <w:lang w:val="es-ES" w:eastAsia="es-ES"/>
        </w:rPr>
        <w:t xml:space="preserve"> la recurrente</w:t>
      </w:r>
      <w:r w:rsidRPr="007A150F">
        <w:rPr>
          <w:rFonts w:ascii="Palatino Linotype" w:eastAsia="MS Mincho" w:hAnsi="Palatino Linotype" w:cs="Times New Roman"/>
          <w:i/>
          <w:lang w:val="es-ES_tradnl" w:eastAsia="es-ES"/>
        </w:rPr>
        <w:t>.</w:t>
      </w:r>
    </w:p>
    <w:p w:rsidR="00FB32BD" w:rsidRPr="007A150F" w:rsidRDefault="00FB32BD" w:rsidP="00FB32BD">
      <w:pPr>
        <w:tabs>
          <w:tab w:val="left" w:pos="7938"/>
        </w:tabs>
        <w:spacing w:before="120" w:after="120" w:line="240" w:lineRule="auto"/>
        <w:ind w:left="1276" w:right="902"/>
        <w:jc w:val="both"/>
        <w:rPr>
          <w:rFonts w:ascii="Palatino Linotype" w:eastAsia="MS Mincho" w:hAnsi="Palatino Linotype" w:cs="Times New Roman"/>
          <w:i/>
          <w:lang w:val="es-ES_tradnl" w:eastAsia="es-ES"/>
        </w:rPr>
      </w:pPr>
    </w:p>
    <w:p w:rsidR="00AE2F20" w:rsidRDefault="00AE2F20" w:rsidP="00FB32BD">
      <w:pPr>
        <w:spacing w:before="120" w:after="120" w:line="240" w:lineRule="auto"/>
        <w:ind w:left="1276" w:right="902"/>
        <w:jc w:val="both"/>
        <w:rPr>
          <w:rFonts w:ascii="Palatino Linotype" w:eastAsia="Calibri" w:hAnsi="Palatino Linotype" w:cs="Arial"/>
          <w:i/>
          <w:lang w:val="es-ES" w:eastAsia="es-ES"/>
        </w:rPr>
      </w:pPr>
      <w:r w:rsidRPr="007A150F">
        <w:rPr>
          <w:rFonts w:ascii="Palatino Linotype" w:eastAsia="Calibri" w:hAnsi="Palatino Linotype" w:cs="Arial"/>
          <w:i/>
          <w:lang w:val="es-ES" w:eastAsia="es-ES"/>
        </w:rPr>
        <w:lastRenderedPageBreak/>
        <w:t>Para el caso no contar con la información a la que se hace referencia en el inciso a) y k) se deberá generar y entregar</w:t>
      </w:r>
      <w:r w:rsidRPr="007A150F">
        <w:rPr>
          <w:rFonts w:ascii="Palatino Linotype" w:eastAsia="Times New Roman" w:hAnsi="Palatino Linotype" w:cs="Arial"/>
          <w:bCs/>
          <w:i/>
          <w:shd w:val="clear" w:color="auto" w:fill="FFFFFF"/>
          <w:lang w:val="es-ES" w:eastAsia="es-ES"/>
        </w:rPr>
        <w:t xml:space="preserve"> </w:t>
      </w:r>
      <w:r w:rsidRPr="007A150F">
        <w:rPr>
          <w:rFonts w:ascii="Palatino Linotype" w:eastAsia="Calibri" w:hAnsi="Palatino Linotype" w:cs="Arial"/>
          <w:i/>
          <w:lang w:val="es-ES" w:eastAsia="es-ES"/>
        </w:rPr>
        <w:t>el Acuerdo que sustente la inexistencia de la información, en el que se expliquen las razones de por qué no se cuenta con la misma de manera fundada y motivada.</w:t>
      </w:r>
    </w:p>
    <w:p w:rsidR="00FB32BD" w:rsidRPr="007A150F" w:rsidRDefault="00FB32BD" w:rsidP="00FB32BD">
      <w:pPr>
        <w:spacing w:after="0" w:line="240" w:lineRule="auto"/>
        <w:ind w:left="1276" w:right="899"/>
        <w:jc w:val="both"/>
        <w:rPr>
          <w:rFonts w:ascii="Palatino Linotype" w:eastAsia="Calibri" w:hAnsi="Palatino Linotype" w:cs="Arial"/>
          <w:i/>
          <w:lang w:val="es-ES" w:eastAsia="es-ES"/>
        </w:rPr>
      </w:pPr>
    </w:p>
    <w:p w:rsidR="00AE2F20" w:rsidRPr="007A150F" w:rsidRDefault="00AE2F20" w:rsidP="00FB32BD">
      <w:pPr>
        <w:spacing w:after="0" w:line="240" w:lineRule="auto"/>
        <w:ind w:left="1276" w:right="899"/>
        <w:jc w:val="both"/>
        <w:rPr>
          <w:rFonts w:ascii="Palatino Linotype" w:eastAsia="Calibri" w:hAnsi="Palatino Linotype" w:cs="Arial"/>
          <w:i/>
          <w:color w:val="000000"/>
          <w:lang w:val="es-ES"/>
        </w:rPr>
      </w:pPr>
      <w:r w:rsidRPr="007A150F">
        <w:rPr>
          <w:rFonts w:ascii="Palatino Linotype" w:eastAsia="Calibri" w:hAnsi="Palatino Linotype" w:cs="Arial"/>
          <w:i/>
          <w:color w:val="000000"/>
          <w:lang w:val="es-ES"/>
        </w:rPr>
        <w:t xml:space="preserve">En caso, que la información señalada en los incisos </w:t>
      </w:r>
      <w:r w:rsidRPr="007A150F">
        <w:rPr>
          <w:rFonts w:ascii="Palatino Linotype" w:eastAsia="Calibri" w:hAnsi="Palatino Linotype" w:cs="Times New Roman"/>
          <w:i/>
          <w:lang w:val="es-ES" w:eastAsia="es-ES"/>
        </w:rPr>
        <w:t>b), c), d), e), f) y g)</w:t>
      </w:r>
      <w:r w:rsidRPr="007A150F">
        <w:rPr>
          <w:rFonts w:ascii="Palatino Linotype" w:eastAsia="Calibri" w:hAnsi="Palatino Linotype" w:cs="Arial"/>
          <w:i/>
          <w:color w:val="000000"/>
          <w:lang w:val="es-ES"/>
        </w:rPr>
        <w:t xml:space="preserve"> no haya sido generada, poseída o administrada, el SUJETO OBLIGADO deberá de manifestar de manera precisa y clara, las razones que expliquen las causas por las cuales no se cuenta con la información requerida.</w:t>
      </w:r>
    </w:p>
    <w:p w:rsidR="00FB32BD" w:rsidRDefault="00FB32BD" w:rsidP="00FB32BD">
      <w:pPr>
        <w:spacing w:after="0" w:line="360" w:lineRule="auto"/>
        <w:jc w:val="both"/>
        <w:rPr>
          <w:rFonts w:ascii="Palatino Linotype" w:hAnsi="Palatino Linotype" w:cs="Arial"/>
          <w:sz w:val="24"/>
          <w:szCs w:val="24"/>
        </w:rPr>
      </w:pPr>
    </w:p>
    <w:p w:rsidR="005611FD" w:rsidRDefault="00A15DFF" w:rsidP="00FB32BD">
      <w:pPr>
        <w:spacing w:after="0" w:line="360" w:lineRule="auto"/>
        <w:jc w:val="both"/>
        <w:rPr>
          <w:rFonts w:ascii="Palatino Linotype" w:hAnsi="Palatino Linotype" w:cs="Arial"/>
          <w:sz w:val="24"/>
          <w:szCs w:val="24"/>
        </w:rPr>
      </w:pPr>
      <w:r w:rsidRPr="00252A5D">
        <w:rPr>
          <w:rFonts w:ascii="Palatino Linotype" w:hAnsi="Palatino Linotype" w:cs="Arial"/>
          <w:sz w:val="24"/>
          <w:szCs w:val="24"/>
        </w:rPr>
        <w:t>En ese sentido, la que suscribe reitera, que si bien coincide en términos generales con las causas que dieron origen al recurso de revisión en comento; difiero respecto a que, en el Resolutivo S</w:t>
      </w:r>
      <w:r w:rsidR="00310F76">
        <w:rPr>
          <w:rFonts w:ascii="Palatino Linotype" w:hAnsi="Palatino Linotype" w:cs="Arial"/>
          <w:sz w:val="24"/>
          <w:szCs w:val="24"/>
        </w:rPr>
        <w:t>EGUNDO se precise en el inciso d</w:t>
      </w:r>
      <w:r w:rsidRPr="00252A5D">
        <w:rPr>
          <w:rFonts w:ascii="Palatino Linotype" w:hAnsi="Palatino Linotype" w:cs="Arial"/>
          <w:sz w:val="24"/>
          <w:szCs w:val="24"/>
        </w:rPr>
        <w:t>) la entrega de</w:t>
      </w:r>
      <w:r w:rsidR="007A150F">
        <w:rPr>
          <w:rFonts w:ascii="Palatino Linotype" w:hAnsi="Palatino Linotype" w:cs="Arial"/>
          <w:sz w:val="24"/>
          <w:szCs w:val="24"/>
        </w:rPr>
        <w:t>l Currículum y la experiencia profesional del servicio a prestar de cada proveed</w:t>
      </w:r>
      <w:r w:rsidR="005611FD">
        <w:rPr>
          <w:rFonts w:ascii="Palatino Linotype" w:hAnsi="Palatino Linotype" w:cs="Arial"/>
          <w:sz w:val="24"/>
          <w:szCs w:val="24"/>
        </w:rPr>
        <w:t xml:space="preserve">or; así como, del inciso j), </w:t>
      </w:r>
      <w:r w:rsidR="007A150F">
        <w:rPr>
          <w:rFonts w:ascii="Palatino Linotype" w:hAnsi="Palatino Linotype" w:cs="Arial"/>
          <w:sz w:val="24"/>
          <w:szCs w:val="24"/>
        </w:rPr>
        <w:t xml:space="preserve">se </w:t>
      </w:r>
      <w:r w:rsidR="005611FD">
        <w:rPr>
          <w:rFonts w:ascii="Palatino Linotype" w:hAnsi="Palatino Linotype" w:cs="Arial"/>
          <w:sz w:val="24"/>
          <w:szCs w:val="24"/>
        </w:rPr>
        <w:t xml:space="preserve">considera que lo procedente era que se precisara en estudio y resolutivos que para el caso de que no se hubiera generado dicha información bastaba con que </w:t>
      </w:r>
      <w:r w:rsidR="005611FD">
        <w:rPr>
          <w:rFonts w:ascii="Palatino Linotype" w:hAnsi="Palatino Linotype" w:cs="Arial"/>
          <w:b/>
          <w:sz w:val="24"/>
          <w:szCs w:val="24"/>
        </w:rPr>
        <w:t xml:space="preserve">EL SUJETO OBLIGADO </w:t>
      </w:r>
      <w:r w:rsidR="005611FD">
        <w:rPr>
          <w:rFonts w:ascii="Palatino Linotype" w:hAnsi="Palatino Linotype" w:cs="Arial"/>
          <w:sz w:val="24"/>
          <w:szCs w:val="24"/>
        </w:rPr>
        <w:t>lo hiciera de conocimiento de la particular al momento de dar cumplimiento a la resolución.</w:t>
      </w:r>
    </w:p>
    <w:p w:rsidR="00FB32BD" w:rsidRDefault="00FB32BD" w:rsidP="00FB32BD">
      <w:pPr>
        <w:spacing w:after="0" w:line="360" w:lineRule="auto"/>
        <w:jc w:val="both"/>
        <w:rPr>
          <w:rFonts w:ascii="Palatino Linotype" w:hAnsi="Palatino Linotype" w:cs="Arial"/>
          <w:sz w:val="24"/>
          <w:szCs w:val="24"/>
        </w:rPr>
      </w:pPr>
    </w:p>
    <w:p w:rsidR="003D3990" w:rsidRDefault="00A15DFF" w:rsidP="00FB32BD">
      <w:pPr>
        <w:spacing w:after="0" w:line="360" w:lineRule="auto"/>
        <w:ind w:right="49"/>
        <w:jc w:val="both"/>
        <w:rPr>
          <w:rFonts w:ascii="Palatino Linotype" w:eastAsia="MS Mincho" w:hAnsi="Palatino Linotype" w:cs="Arial"/>
          <w:sz w:val="24"/>
          <w:szCs w:val="24"/>
        </w:rPr>
      </w:pPr>
      <w:r>
        <w:rPr>
          <w:rFonts w:ascii="Palatino Linotype" w:hAnsi="Palatino Linotype" w:cs="Arial"/>
          <w:sz w:val="24"/>
          <w:szCs w:val="24"/>
        </w:rPr>
        <w:t xml:space="preserve">Lo anterior es así, ya que si bien es cierto que, </w:t>
      </w:r>
      <w:r w:rsidR="00D51076">
        <w:rPr>
          <w:rFonts w:ascii="Palatino Linotype" w:hAnsi="Palatino Linotype" w:cs="Arial"/>
          <w:b/>
          <w:sz w:val="24"/>
          <w:szCs w:val="24"/>
        </w:rPr>
        <w:t xml:space="preserve">EL SUJETO OBLIGADO </w:t>
      </w:r>
      <w:r w:rsidR="00D51076">
        <w:rPr>
          <w:rFonts w:ascii="Palatino Linotype" w:hAnsi="Palatino Linotype" w:cs="Arial"/>
          <w:sz w:val="24"/>
          <w:szCs w:val="24"/>
        </w:rPr>
        <w:t xml:space="preserve">mediante su respuesta </w:t>
      </w:r>
      <w:r w:rsidR="00310F76">
        <w:rPr>
          <w:rFonts w:ascii="Palatino Linotype" w:eastAsia="MS Mincho" w:hAnsi="Palatino Linotype" w:cs="Arial"/>
          <w:sz w:val="24"/>
          <w:szCs w:val="24"/>
        </w:rPr>
        <w:t>se puede</w:t>
      </w:r>
      <w:r w:rsidR="003D3990" w:rsidRPr="00B81E74">
        <w:rPr>
          <w:rFonts w:ascii="Palatino Linotype" w:eastAsia="MS Mincho" w:hAnsi="Palatino Linotype" w:cs="Arial"/>
          <w:sz w:val="24"/>
          <w:szCs w:val="24"/>
        </w:rPr>
        <w:t xml:space="preserve"> observar </w:t>
      </w:r>
      <w:r w:rsidR="003D3990">
        <w:rPr>
          <w:rFonts w:ascii="Palatino Linotype" w:eastAsia="MS Mincho" w:hAnsi="Palatino Linotype" w:cs="Arial"/>
          <w:sz w:val="24"/>
          <w:szCs w:val="24"/>
        </w:rPr>
        <w:t xml:space="preserve">que </w:t>
      </w:r>
      <w:r w:rsidR="003D3990" w:rsidRPr="00B81E74">
        <w:rPr>
          <w:rFonts w:ascii="Palatino Linotype" w:eastAsia="MS Mincho" w:hAnsi="Palatino Linotype" w:cs="Arial"/>
          <w:sz w:val="24"/>
          <w:szCs w:val="24"/>
        </w:rPr>
        <w:t>en el correo de solicitud de cotización</w:t>
      </w:r>
      <w:r w:rsidR="00310F76">
        <w:rPr>
          <w:rFonts w:ascii="Palatino Linotype" w:eastAsia="MS Mincho" w:hAnsi="Palatino Linotype" w:cs="Arial"/>
          <w:sz w:val="24"/>
          <w:szCs w:val="24"/>
        </w:rPr>
        <w:t>,</w:t>
      </w:r>
      <w:r w:rsidR="003D3990" w:rsidRPr="00B81E74">
        <w:rPr>
          <w:rFonts w:ascii="Palatino Linotype" w:eastAsia="MS Mincho" w:hAnsi="Palatino Linotype" w:cs="Arial"/>
          <w:sz w:val="24"/>
          <w:szCs w:val="24"/>
        </w:rPr>
        <w:t xml:space="preserve"> la empresa seleccionada proporcionó vía </w:t>
      </w:r>
      <w:r w:rsidR="003D3990">
        <w:rPr>
          <w:rFonts w:ascii="Palatino Linotype" w:eastAsia="MS Mincho" w:hAnsi="Palatino Linotype" w:cs="Arial"/>
          <w:sz w:val="24"/>
          <w:szCs w:val="24"/>
        </w:rPr>
        <w:t>electrónica</w:t>
      </w:r>
      <w:r w:rsidR="003D3990" w:rsidRPr="00B81E74">
        <w:rPr>
          <w:rFonts w:ascii="Palatino Linotype" w:eastAsia="MS Mincho" w:hAnsi="Palatino Linotype" w:cs="Arial"/>
          <w:sz w:val="24"/>
          <w:szCs w:val="24"/>
        </w:rPr>
        <w:t xml:space="preserve"> </w:t>
      </w:r>
      <w:r w:rsidR="003D3990">
        <w:rPr>
          <w:rFonts w:ascii="Palatino Linotype" w:eastAsia="MS Mincho" w:hAnsi="Palatino Linotype" w:cs="Arial"/>
          <w:sz w:val="24"/>
          <w:szCs w:val="24"/>
        </w:rPr>
        <w:t>el currículum solicitado; también lo es que, la Ponencia Res</w:t>
      </w:r>
      <w:r w:rsidR="00310F76">
        <w:rPr>
          <w:rFonts w:ascii="Palatino Linotype" w:eastAsia="MS Mincho" w:hAnsi="Palatino Linotype" w:cs="Arial"/>
          <w:sz w:val="24"/>
          <w:szCs w:val="24"/>
        </w:rPr>
        <w:t>olutora obvió</w:t>
      </w:r>
      <w:r w:rsidR="003D3990">
        <w:rPr>
          <w:rFonts w:ascii="Palatino Linotype" w:eastAsia="MS Mincho" w:hAnsi="Palatino Linotype" w:cs="Arial"/>
          <w:sz w:val="24"/>
          <w:szCs w:val="24"/>
        </w:rPr>
        <w:t xml:space="preserve"> el estudio de la naturaleza de la información y determinó ordenar su entrega; sin embargo, a criterio de la suscrita lo procedente era precisar en el estudio que la experiencia profesional</w:t>
      </w:r>
      <w:r w:rsidR="00310F76">
        <w:rPr>
          <w:rFonts w:ascii="Palatino Linotype" w:eastAsia="MS Mincho" w:hAnsi="Palatino Linotype" w:cs="Arial"/>
          <w:sz w:val="24"/>
          <w:szCs w:val="24"/>
        </w:rPr>
        <w:t xml:space="preserve"> </w:t>
      </w:r>
      <w:r w:rsidR="003D3990">
        <w:rPr>
          <w:rFonts w:ascii="Palatino Linotype" w:eastAsia="MS Mincho" w:hAnsi="Palatino Linotype" w:cs="Arial"/>
          <w:sz w:val="24"/>
          <w:szCs w:val="24"/>
        </w:rPr>
        <w:t xml:space="preserve">del servicio de cada proveedor, se encuentra </w:t>
      </w:r>
      <w:r w:rsidR="003D3990">
        <w:rPr>
          <w:rFonts w:ascii="Palatino Linotype" w:eastAsia="MS Mincho" w:hAnsi="Palatino Linotype" w:cs="Arial"/>
          <w:sz w:val="24"/>
          <w:szCs w:val="24"/>
        </w:rPr>
        <w:lastRenderedPageBreak/>
        <w:t>inmersa en el contenido del currículum</w:t>
      </w:r>
      <w:r w:rsidR="00310F76">
        <w:rPr>
          <w:rStyle w:val="Refdenotaalpie"/>
          <w:rFonts w:ascii="Palatino Linotype" w:eastAsia="MS Mincho" w:hAnsi="Palatino Linotype" w:cs="Arial"/>
          <w:sz w:val="24"/>
          <w:szCs w:val="24"/>
        </w:rPr>
        <w:footnoteReference w:id="1"/>
      </w:r>
      <w:r w:rsidR="003D3990">
        <w:rPr>
          <w:rFonts w:ascii="Palatino Linotype" w:eastAsia="MS Mincho" w:hAnsi="Palatino Linotype" w:cs="Arial"/>
          <w:sz w:val="24"/>
          <w:szCs w:val="24"/>
        </w:rPr>
        <w:t xml:space="preserve"> que se ordena y en consecuencia </w:t>
      </w:r>
      <w:r w:rsidR="006E06CC">
        <w:rPr>
          <w:rFonts w:ascii="Palatino Linotype" w:eastAsia="MS Mincho" w:hAnsi="Palatino Linotype" w:cs="Arial"/>
          <w:sz w:val="24"/>
          <w:szCs w:val="24"/>
        </w:rPr>
        <w:t>lo procedente única</w:t>
      </w:r>
      <w:r w:rsidR="00310F76">
        <w:rPr>
          <w:rFonts w:ascii="Palatino Linotype" w:eastAsia="MS Mincho" w:hAnsi="Palatino Linotype" w:cs="Arial"/>
          <w:sz w:val="24"/>
          <w:szCs w:val="24"/>
        </w:rPr>
        <w:t>mente era señalar en el inciso d</w:t>
      </w:r>
      <w:r w:rsidR="006E06CC">
        <w:rPr>
          <w:rFonts w:ascii="Palatino Linotype" w:eastAsia="MS Mincho" w:hAnsi="Palatino Linotype" w:cs="Arial"/>
          <w:sz w:val="24"/>
          <w:szCs w:val="24"/>
        </w:rPr>
        <w:t xml:space="preserve">) del Resolutivo SEGUNDO </w:t>
      </w:r>
      <w:r w:rsidR="00971978">
        <w:rPr>
          <w:rFonts w:ascii="Palatino Linotype" w:eastAsia="MS Mincho" w:hAnsi="Palatino Linotype" w:cs="Arial"/>
          <w:sz w:val="24"/>
          <w:szCs w:val="24"/>
        </w:rPr>
        <w:t xml:space="preserve">que se </w:t>
      </w:r>
      <w:r w:rsidR="006E06CC">
        <w:rPr>
          <w:rFonts w:ascii="Palatino Linotype" w:eastAsia="MS Mincho" w:hAnsi="Palatino Linotype" w:cs="Arial"/>
          <w:sz w:val="24"/>
          <w:szCs w:val="24"/>
        </w:rPr>
        <w:t>ordena</w:t>
      </w:r>
      <w:r w:rsidR="00971978">
        <w:rPr>
          <w:rFonts w:ascii="Palatino Linotype" w:eastAsia="MS Mincho" w:hAnsi="Palatino Linotype" w:cs="Arial"/>
          <w:sz w:val="24"/>
          <w:szCs w:val="24"/>
        </w:rPr>
        <w:t>ba</w:t>
      </w:r>
      <w:r w:rsidR="006E06CC">
        <w:rPr>
          <w:rFonts w:ascii="Palatino Linotype" w:eastAsia="MS Mincho" w:hAnsi="Palatino Linotype" w:cs="Arial"/>
          <w:sz w:val="24"/>
          <w:szCs w:val="24"/>
        </w:rPr>
        <w:t xml:space="preserve"> la entrega del multicitado currículum de cada proveedor.</w:t>
      </w:r>
    </w:p>
    <w:p w:rsidR="00135EAD" w:rsidRDefault="00A15DFF" w:rsidP="00FB32BD">
      <w:pPr>
        <w:spacing w:after="0" w:line="360" w:lineRule="auto"/>
        <w:jc w:val="both"/>
        <w:rPr>
          <w:rFonts w:ascii="Palatino Linotype" w:hAnsi="Palatino Linotype" w:cs="Arial"/>
          <w:sz w:val="24"/>
          <w:szCs w:val="24"/>
        </w:rPr>
      </w:pPr>
      <w:r w:rsidRPr="00252A5D">
        <w:rPr>
          <w:rFonts w:ascii="Palatino Linotype" w:hAnsi="Palatino Linotype" w:cs="Arial"/>
          <w:sz w:val="24"/>
          <w:szCs w:val="24"/>
        </w:rPr>
        <w:t xml:space="preserve">Por otra parte, </w:t>
      </w:r>
      <w:r w:rsidR="00971978">
        <w:rPr>
          <w:rFonts w:ascii="Palatino Linotype" w:hAnsi="Palatino Linotype" w:cs="Arial"/>
          <w:sz w:val="24"/>
          <w:szCs w:val="24"/>
        </w:rPr>
        <w:t xml:space="preserve">en relación con el inciso j), del Resolutivo SEGUNDO, es necesario referir que </w:t>
      </w:r>
      <w:r w:rsidR="00135EAD">
        <w:rPr>
          <w:rFonts w:ascii="Palatino Linotype" w:hAnsi="Palatino Linotype" w:cs="Arial"/>
          <w:sz w:val="24"/>
          <w:szCs w:val="24"/>
        </w:rPr>
        <w:t xml:space="preserve">la manifestación de conflicto de interés de acuerdo con lo establecido en la Ley de Contracción Pública del Estado de México y Municipios, no establece que sea un documento que se deba generar como parte de los requisitos de contratación de un determinado bien o servicio, </w:t>
      </w:r>
      <w:r w:rsidR="000E1148">
        <w:rPr>
          <w:rFonts w:ascii="Palatino Linotype" w:hAnsi="Palatino Linotype" w:cs="Arial"/>
          <w:sz w:val="24"/>
          <w:szCs w:val="24"/>
        </w:rPr>
        <w:t>sino por el contrario se consagra que</w:t>
      </w:r>
      <w:r w:rsidR="00135EAD">
        <w:rPr>
          <w:rFonts w:ascii="Palatino Linotype" w:hAnsi="Palatino Linotype" w:cs="Arial"/>
          <w:sz w:val="24"/>
          <w:szCs w:val="24"/>
        </w:rPr>
        <w:t xml:space="preserve">, </w:t>
      </w:r>
      <w:r w:rsidR="00135EAD" w:rsidRPr="00135EAD">
        <w:rPr>
          <w:rFonts w:ascii="Palatino Linotype" w:hAnsi="Palatino Linotype" w:cs="Arial"/>
          <w:sz w:val="24"/>
          <w:szCs w:val="24"/>
        </w:rPr>
        <w:t>las dependencias, las entidades, los Órganos Autónomos Constitucionales, los Tribunales Administrativos, los Ayuntamientos y los Organismos Auxiliares, se</w:t>
      </w:r>
      <w:r w:rsidR="00135EAD">
        <w:rPr>
          <w:rFonts w:ascii="Palatino Linotype" w:hAnsi="Palatino Linotype" w:cs="Arial"/>
          <w:sz w:val="24"/>
          <w:szCs w:val="24"/>
        </w:rPr>
        <w:t xml:space="preserve"> deberá</w:t>
      </w:r>
      <w:r w:rsidR="000E1148">
        <w:rPr>
          <w:rFonts w:ascii="Palatino Linotype" w:hAnsi="Palatino Linotype" w:cs="Arial"/>
          <w:sz w:val="24"/>
          <w:szCs w:val="24"/>
        </w:rPr>
        <w:t>n</w:t>
      </w:r>
      <w:r w:rsidR="00135EAD">
        <w:rPr>
          <w:rFonts w:ascii="Palatino Linotype" w:hAnsi="Palatino Linotype" w:cs="Arial"/>
          <w:sz w:val="24"/>
          <w:szCs w:val="24"/>
        </w:rPr>
        <w:t xml:space="preserve"> de </w:t>
      </w:r>
      <w:r w:rsidR="00135EAD" w:rsidRPr="00135EAD">
        <w:rPr>
          <w:rFonts w:ascii="Palatino Linotype" w:hAnsi="Palatino Linotype" w:cs="Arial"/>
          <w:sz w:val="24"/>
          <w:szCs w:val="24"/>
        </w:rPr>
        <w:t>absten</w:t>
      </w:r>
      <w:r w:rsidR="00135EAD">
        <w:rPr>
          <w:rFonts w:ascii="Palatino Linotype" w:hAnsi="Palatino Linotype" w:cs="Arial"/>
          <w:sz w:val="24"/>
          <w:szCs w:val="24"/>
        </w:rPr>
        <w:t xml:space="preserve">er para </w:t>
      </w:r>
      <w:r w:rsidR="00135EAD" w:rsidRPr="00135EAD">
        <w:rPr>
          <w:rFonts w:ascii="Palatino Linotype" w:hAnsi="Palatino Linotype" w:cs="Arial"/>
          <w:sz w:val="24"/>
          <w:szCs w:val="24"/>
        </w:rPr>
        <w:t>recibir propuestas o celebrar contratos con</w:t>
      </w:r>
      <w:r w:rsidR="00135EAD">
        <w:rPr>
          <w:rFonts w:ascii="Palatino Linotype" w:hAnsi="Palatino Linotype" w:cs="Arial"/>
          <w:sz w:val="24"/>
          <w:szCs w:val="24"/>
        </w:rPr>
        <w:t xml:space="preserve"> aquellos que intervengan en cualquier etapa del procedimiento de adquisición</w:t>
      </w:r>
      <w:r w:rsidR="000C3A65">
        <w:rPr>
          <w:rFonts w:ascii="Palatino Linotype" w:hAnsi="Palatino Linotype" w:cs="Arial"/>
          <w:sz w:val="24"/>
          <w:szCs w:val="24"/>
        </w:rPr>
        <w:t>, tenga algún interés personal, familiar o de negocios, ello de conformidad con lo establecido en el artículo 74, fracción I de la Ley en cita, que a la letra reza:</w:t>
      </w:r>
    </w:p>
    <w:p w:rsidR="00FB32BD" w:rsidRDefault="00FB32BD" w:rsidP="00FB32BD">
      <w:pPr>
        <w:spacing w:after="0" w:line="360" w:lineRule="auto"/>
        <w:jc w:val="both"/>
        <w:rPr>
          <w:rFonts w:ascii="Palatino Linotype" w:hAnsi="Palatino Linotype" w:cs="Arial"/>
          <w:sz w:val="24"/>
          <w:szCs w:val="24"/>
        </w:rPr>
      </w:pPr>
    </w:p>
    <w:p w:rsidR="000C3A65" w:rsidRDefault="000C3A65" w:rsidP="00FB32BD">
      <w:pPr>
        <w:spacing w:after="0" w:line="240" w:lineRule="auto"/>
        <w:ind w:left="851" w:right="902"/>
        <w:jc w:val="both"/>
        <w:rPr>
          <w:rFonts w:ascii="Palatino Linotype" w:hAnsi="Palatino Linotype"/>
          <w:i/>
        </w:rPr>
      </w:pPr>
      <w:r w:rsidRPr="000C3A65">
        <w:rPr>
          <w:rFonts w:ascii="Palatino Linotype" w:hAnsi="Palatino Linotype"/>
          <w:b/>
          <w:i/>
        </w:rPr>
        <w:t xml:space="preserve">“Artículo 74.- </w:t>
      </w:r>
      <w:r w:rsidRPr="000C3A65">
        <w:rPr>
          <w:rFonts w:ascii="Palatino Linotype" w:hAnsi="Palatino Linotype"/>
          <w:i/>
        </w:rPr>
        <w:t xml:space="preserve">La Secretaría, las dependencias, las entidades, los Órganos Autónomos Constitucionales, los Tribunales Administrativos, los Ayuntamientos y </w:t>
      </w:r>
      <w:r w:rsidRPr="000C3A65">
        <w:rPr>
          <w:rFonts w:ascii="Palatino Linotype" w:hAnsi="Palatino Linotype"/>
          <w:b/>
          <w:i/>
        </w:rPr>
        <w:t>los Organismos Auxiliares, se abstendrán de recibir propuestas o de celebrar contratos con las personas siguientes:</w:t>
      </w:r>
    </w:p>
    <w:p w:rsidR="00FB32BD" w:rsidRDefault="00FB32BD" w:rsidP="00FB32BD">
      <w:pPr>
        <w:spacing w:after="0" w:line="240" w:lineRule="auto"/>
        <w:ind w:left="851" w:right="902"/>
        <w:jc w:val="both"/>
        <w:rPr>
          <w:rFonts w:ascii="Palatino Linotype" w:hAnsi="Palatino Linotype"/>
          <w:b/>
          <w:i/>
        </w:rPr>
      </w:pPr>
    </w:p>
    <w:p w:rsidR="000C3A65" w:rsidRDefault="000C3A65" w:rsidP="00FB32BD">
      <w:pPr>
        <w:spacing w:after="0" w:line="240" w:lineRule="auto"/>
        <w:ind w:left="851" w:right="902"/>
        <w:jc w:val="both"/>
        <w:rPr>
          <w:rFonts w:ascii="Palatino Linotype" w:hAnsi="Palatino Linotype"/>
          <w:i/>
        </w:rPr>
      </w:pPr>
      <w:r w:rsidRPr="000C3A65">
        <w:rPr>
          <w:rFonts w:ascii="Palatino Linotype" w:hAnsi="Palatino Linotype"/>
          <w:b/>
          <w:i/>
        </w:rPr>
        <w:t>I.</w:t>
      </w:r>
      <w:r w:rsidRPr="000C3A65">
        <w:rPr>
          <w:rFonts w:ascii="Palatino Linotype" w:hAnsi="Palatino Linotype"/>
          <w:i/>
        </w:rPr>
        <w:t xml:space="preserve"> </w:t>
      </w:r>
      <w:r w:rsidRPr="000C3A65">
        <w:rPr>
          <w:rFonts w:ascii="Palatino Linotype" w:hAnsi="Palatino Linotype"/>
          <w:b/>
          <w:i/>
        </w:rPr>
        <w:t xml:space="preserve">Aquellas con las que el servidor público, que intervenga en cualquier etapa del procedimiento de adquisición o de la contratación, tenga interés personal, familiar o de negocios, incluyendo las que pueda obtener algún beneficio para él, su cónyuge o sus parientes consanguíneos hasta el cuarto grado, por afinidad o civiles, o terceros con los que tenga relaciones </w:t>
      </w:r>
      <w:r w:rsidRPr="000C3A65">
        <w:rPr>
          <w:rFonts w:ascii="Palatino Linotype" w:hAnsi="Palatino Linotype"/>
          <w:b/>
          <w:i/>
        </w:rPr>
        <w:lastRenderedPageBreak/>
        <w:t>profesionales, laborales o de negocios, o socios o sociedades de las que las personas antes referidas formen parte, durante los dos años previos a la fecha de la celebración del procedimiento de que se trate</w:t>
      </w:r>
      <w:r w:rsidRPr="000C3A65">
        <w:rPr>
          <w:rFonts w:ascii="Palatino Linotype" w:hAnsi="Palatino Linotype"/>
          <w:i/>
        </w:rPr>
        <w:t>.</w:t>
      </w:r>
    </w:p>
    <w:p w:rsidR="000C3A65" w:rsidRDefault="000C3A65" w:rsidP="00FB32BD">
      <w:pPr>
        <w:spacing w:after="0" w:line="240" w:lineRule="auto"/>
        <w:ind w:left="851" w:right="902"/>
        <w:jc w:val="both"/>
        <w:rPr>
          <w:rFonts w:ascii="Palatino Linotype" w:hAnsi="Palatino Linotype" w:cs="Arial"/>
          <w:i/>
          <w:sz w:val="24"/>
          <w:szCs w:val="24"/>
        </w:rPr>
      </w:pPr>
      <w:r>
        <w:rPr>
          <w:rFonts w:ascii="Palatino Linotype" w:hAnsi="Palatino Linotype" w:cs="Arial"/>
          <w:i/>
          <w:sz w:val="24"/>
          <w:szCs w:val="24"/>
        </w:rPr>
        <w:t xml:space="preserve">…” </w:t>
      </w:r>
    </w:p>
    <w:p w:rsidR="000C3A65" w:rsidRPr="000C3A65" w:rsidRDefault="000C3A65" w:rsidP="00FB32BD">
      <w:pPr>
        <w:spacing w:after="0" w:line="240" w:lineRule="auto"/>
        <w:ind w:left="851" w:right="902"/>
        <w:jc w:val="both"/>
        <w:rPr>
          <w:rFonts w:ascii="Palatino Linotype" w:hAnsi="Palatino Linotype" w:cs="Arial"/>
          <w:i/>
          <w:sz w:val="24"/>
          <w:szCs w:val="24"/>
        </w:rPr>
      </w:pPr>
      <w:r>
        <w:rPr>
          <w:rFonts w:ascii="Palatino Linotype" w:hAnsi="Palatino Linotype" w:cs="Arial"/>
          <w:i/>
          <w:sz w:val="24"/>
          <w:szCs w:val="24"/>
        </w:rPr>
        <w:t>(Énfasis añadido)</w:t>
      </w:r>
    </w:p>
    <w:p w:rsidR="00FB32BD" w:rsidRDefault="00FB32BD" w:rsidP="00FB32BD">
      <w:pPr>
        <w:spacing w:after="0" w:line="360" w:lineRule="auto"/>
        <w:jc w:val="both"/>
        <w:rPr>
          <w:rFonts w:ascii="Palatino Linotype" w:hAnsi="Palatino Linotype" w:cs="Arial"/>
          <w:sz w:val="24"/>
          <w:szCs w:val="24"/>
        </w:rPr>
      </w:pPr>
    </w:p>
    <w:p w:rsidR="005611FD" w:rsidRDefault="005D6C3E" w:rsidP="00FB32B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 transcripción anterior, se advierte que los servidores públicos </w:t>
      </w:r>
      <w:r w:rsidR="000E1148">
        <w:rPr>
          <w:rFonts w:ascii="Palatino Linotype" w:hAnsi="Palatino Linotype" w:cs="Arial"/>
          <w:sz w:val="24"/>
          <w:szCs w:val="24"/>
        </w:rPr>
        <w:t xml:space="preserve">que intervengan en cualquier etapa del procedimiento de adquisición o de la contratación </w:t>
      </w:r>
      <w:r>
        <w:rPr>
          <w:rFonts w:ascii="Palatino Linotype" w:hAnsi="Palatino Linotype" w:cs="Arial"/>
          <w:sz w:val="24"/>
          <w:szCs w:val="24"/>
        </w:rPr>
        <w:t>por disposición legal se encuentran impedidos de siquiera admitir aquellos proyectos en los que tenga</w:t>
      </w:r>
      <w:r w:rsidR="000E1148">
        <w:rPr>
          <w:rFonts w:ascii="Palatino Linotype" w:hAnsi="Palatino Linotype" w:cs="Arial"/>
          <w:sz w:val="24"/>
          <w:szCs w:val="24"/>
        </w:rPr>
        <w:t>n</w:t>
      </w:r>
      <w:r>
        <w:rPr>
          <w:rFonts w:ascii="Palatino Linotype" w:hAnsi="Palatino Linotype" w:cs="Arial"/>
          <w:sz w:val="24"/>
          <w:szCs w:val="24"/>
        </w:rPr>
        <w:t xml:space="preserve"> algún conflicto de interés o del que pueda obtener un beneficio sea el o bien algún familiar consanguíneo hasta el cuarto grado o bien con terceros con los que lleve una relación profesional, laboral o de negocios, durante los dos años previos a la fecha de la celebración del procedimiento de que se trate, es decir, si la normativa en comento impide la intervención en el procedimiento de los servidores públicos para los que exista un</w:t>
      </w:r>
      <w:r w:rsidR="005611FD">
        <w:rPr>
          <w:rFonts w:ascii="Palatino Linotype" w:hAnsi="Palatino Linotype" w:cs="Arial"/>
          <w:sz w:val="24"/>
          <w:szCs w:val="24"/>
        </w:rPr>
        <w:t xml:space="preserve"> evidente conflicto de interés; sin embargo, a fin de dar certeza jurídica a la solicitante lo procedente era que se ordenara la entrega de la información y se estableciera una salvedad de que para el caso de que no se hubiera generado dicha información bastaba con que </w:t>
      </w:r>
      <w:r w:rsidR="005611FD">
        <w:rPr>
          <w:rFonts w:ascii="Palatino Linotype" w:hAnsi="Palatino Linotype" w:cs="Arial"/>
          <w:b/>
          <w:sz w:val="24"/>
          <w:szCs w:val="24"/>
        </w:rPr>
        <w:t xml:space="preserve">EL SUJETO OBLIGADO </w:t>
      </w:r>
      <w:r w:rsidR="005611FD">
        <w:rPr>
          <w:rFonts w:ascii="Palatino Linotype" w:hAnsi="Palatino Linotype" w:cs="Arial"/>
          <w:sz w:val="24"/>
          <w:szCs w:val="24"/>
        </w:rPr>
        <w:t xml:space="preserve">lo hiciera de conocimiento de la particular al </w:t>
      </w:r>
      <w:r w:rsidR="00186D88">
        <w:rPr>
          <w:rFonts w:ascii="Palatino Linotype" w:hAnsi="Palatino Linotype" w:cs="Arial"/>
          <w:sz w:val="24"/>
          <w:szCs w:val="24"/>
        </w:rPr>
        <w:t>m</w:t>
      </w:r>
      <w:r w:rsidR="005611FD">
        <w:rPr>
          <w:rFonts w:ascii="Palatino Linotype" w:hAnsi="Palatino Linotype" w:cs="Arial"/>
          <w:sz w:val="24"/>
          <w:szCs w:val="24"/>
        </w:rPr>
        <w:t>omento de dar cumplimiento a la resolución.</w:t>
      </w:r>
    </w:p>
    <w:p w:rsidR="00FB32BD" w:rsidRDefault="00FB32BD" w:rsidP="00FB32BD">
      <w:pPr>
        <w:spacing w:after="0" w:line="360" w:lineRule="auto"/>
        <w:jc w:val="both"/>
        <w:rPr>
          <w:rFonts w:ascii="Palatino Linotype" w:hAnsi="Palatino Linotype" w:cs="Arial"/>
          <w:sz w:val="24"/>
          <w:szCs w:val="24"/>
        </w:rPr>
      </w:pPr>
    </w:p>
    <w:p w:rsidR="00914641" w:rsidRDefault="00A15DFF" w:rsidP="00FB32BD">
      <w:pPr>
        <w:spacing w:after="0" w:line="360" w:lineRule="auto"/>
        <w:jc w:val="both"/>
        <w:rPr>
          <w:rFonts w:ascii="Palatino Linotype" w:eastAsia="MS Mincho" w:hAnsi="Palatino Linotype" w:cs="Arial"/>
          <w:sz w:val="24"/>
          <w:szCs w:val="24"/>
        </w:rPr>
      </w:pPr>
      <w:r w:rsidRPr="00252A5D">
        <w:rPr>
          <w:rFonts w:ascii="Palatino Linotype" w:hAnsi="Palatino Linotype" w:cs="Arial"/>
          <w:sz w:val="24"/>
          <w:szCs w:val="24"/>
        </w:rPr>
        <w:t>Es por lo anteriormente expuesto que, la suscri</w:t>
      </w:r>
      <w:r w:rsidR="00914641">
        <w:rPr>
          <w:rFonts w:ascii="Palatino Linotype" w:hAnsi="Palatino Linotype" w:cs="Arial"/>
          <w:sz w:val="24"/>
          <w:szCs w:val="24"/>
        </w:rPr>
        <w:t xml:space="preserve">ta </w:t>
      </w:r>
      <w:r w:rsidRPr="00252A5D">
        <w:rPr>
          <w:rFonts w:ascii="Palatino Linotype" w:hAnsi="Palatino Linotype" w:cs="Arial"/>
          <w:sz w:val="24"/>
          <w:szCs w:val="24"/>
        </w:rPr>
        <w:t xml:space="preserve">emite </w:t>
      </w:r>
      <w:r w:rsidRPr="00252A5D">
        <w:rPr>
          <w:rFonts w:ascii="Palatino Linotype" w:hAnsi="Palatino Linotype" w:cs="Arial"/>
          <w:b/>
          <w:sz w:val="24"/>
          <w:szCs w:val="24"/>
        </w:rPr>
        <w:t>VOTO PARTICULAR</w:t>
      </w:r>
      <w:r w:rsidRPr="00252A5D">
        <w:rPr>
          <w:rFonts w:ascii="Palatino Linotype" w:hAnsi="Palatino Linotype" w:cs="Arial"/>
          <w:sz w:val="24"/>
          <w:szCs w:val="24"/>
        </w:rPr>
        <w:t xml:space="preserve"> pues se insiste que lo procedente era que la Ponencia Resolutora precisara</w:t>
      </w:r>
      <w:r w:rsidR="00914641">
        <w:rPr>
          <w:rFonts w:ascii="Palatino Linotype" w:hAnsi="Palatino Linotype" w:cs="Arial"/>
          <w:sz w:val="24"/>
          <w:szCs w:val="24"/>
        </w:rPr>
        <w:t xml:space="preserve"> </w:t>
      </w:r>
      <w:r w:rsidR="00914641">
        <w:rPr>
          <w:rFonts w:ascii="Palatino Linotype" w:eastAsia="MS Mincho" w:hAnsi="Palatino Linotype" w:cs="Arial"/>
          <w:sz w:val="24"/>
          <w:szCs w:val="24"/>
        </w:rPr>
        <w:t>en el estudio que la experiencia profesional del servicio de cada proveedor, se encuentra inmersa en el contenido del currículum que se ordena y en consecuencia lo procedente únicamente era ordenar la entrega del multicitad</w:t>
      </w:r>
      <w:r w:rsidR="000E1148">
        <w:rPr>
          <w:rFonts w:ascii="Palatino Linotype" w:eastAsia="MS Mincho" w:hAnsi="Palatino Linotype" w:cs="Arial"/>
          <w:sz w:val="24"/>
          <w:szCs w:val="24"/>
        </w:rPr>
        <w:t xml:space="preserve">o currículum de cada proveedor, a fin de otorgar </w:t>
      </w:r>
      <w:r w:rsidR="000E1148">
        <w:rPr>
          <w:rFonts w:ascii="Palatino Linotype" w:eastAsia="MS Mincho" w:hAnsi="Palatino Linotype" w:cs="Arial"/>
          <w:sz w:val="24"/>
          <w:szCs w:val="24"/>
        </w:rPr>
        <w:lastRenderedPageBreak/>
        <w:t xml:space="preserve">certeza del documento a entregar; </w:t>
      </w:r>
      <w:r w:rsidR="00914641">
        <w:rPr>
          <w:rFonts w:ascii="Palatino Linotype" w:eastAsia="MS Mincho" w:hAnsi="Palatino Linotype" w:cs="Arial"/>
          <w:sz w:val="24"/>
          <w:szCs w:val="24"/>
        </w:rPr>
        <w:t xml:space="preserve">así como, </w:t>
      </w:r>
      <w:r w:rsidR="000E1148">
        <w:rPr>
          <w:rFonts w:ascii="Palatino Linotype" w:eastAsia="MS Mincho" w:hAnsi="Palatino Linotype" w:cs="Arial"/>
          <w:sz w:val="24"/>
          <w:szCs w:val="24"/>
        </w:rPr>
        <w:t xml:space="preserve">al no existir norma que establezca que se debe generar el </w:t>
      </w:r>
      <w:r w:rsidR="00914641">
        <w:rPr>
          <w:rFonts w:ascii="Palatino Linotype" w:eastAsia="MS Mincho" w:hAnsi="Palatino Linotype" w:cs="Arial"/>
          <w:sz w:val="24"/>
          <w:szCs w:val="24"/>
        </w:rPr>
        <w:t>documento que se ordena en el inciso j), del Resolutivo SEGUNDO, se co</w:t>
      </w:r>
      <w:r w:rsidR="005611FD">
        <w:rPr>
          <w:rFonts w:ascii="Palatino Linotype" w:eastAsia="MS Mincho" w:hAnsi="Palatino Linotype" w:cs="Arial"/>
          <w:sz w:val="24"/>
          <w:szCs w:val="24"/>
        </w:rPr>
        <w:t>nsidera que lo procedente era</w:t>
      </w:r>
      <w:r w:rsidR="00FB32BD">
        <w:rPr>
          <w:rFonts w:ascii="Palatino Linotype" w:eastAsia="MS Mincho" w:hAnsi="Palatino Linotype" w:cs="Arial"/>
          <w:sz w:val="24"/>
          <w:szCs w:val="24"/>
        </w:rPr>
        <w:t xml:space="preserve"> ordenar su entrega, pero para el caso de que no obrara en sus archivos debería referirse al respecto.</w:t>
      </w:r>
    </w:p>
    <w:p w:rsidR="00FB32BD" w:rsidRDefault="00FB32BD" w:rsidP="00FB32BD">
      <w:pPr>
        <w:spacing w:after="0" w:line="360" w:lineRule="auto"/>
        <w:jc w:val="both"/>
        <w:rPr>
          <w:rFonts w:ascii="Palatino Linotype" w:eastAsia="MS Mincho" w:hAnsi="Palatino Linotype" w:cs="Arial"/>
          <w:sz w:val="24"/>
          <w:szCs w:val="24"/>
        </w:rPr>
      </w:pPr>
    </w:p>
    <w:p w:rsidR="00FB32BD" w:rsidRDefault="00FB32BD" w:rsidP="00FB32BD">
      <w:pPr>
        <w:spacing w:after="0" w:line="360" w:lineRule="auto"/>
        <w:jc w:val="both"/>
        <w:rPr>
          <w:rFonts w:ascii="Palatino Linotype" w:eastAsia="MS Mincho" w:hAnsi="Palatino Linotype" w:cs="Arial"/>
          <w:sz w:val="24"/>
          <w:szCs w:val="24"/>
        </w:rPr>
      </w:pPr>
    </w:p>
    <w:p w:rsidR="00FB32BD" w:rsidRDefault="00FB32BD" w:rsidP="00FB32BD">
      <w:pPr>
        <w:spacing w:after="0" w:line="360" w:lineRule="auto"/>
        <w:jc w:val="both"/>
        <w:rPr>
          <w:rFonts w:ascii="Palatino Linotype" w:eastAsia="MS Mincho" w:hAnsi="Palatino Linotype" w:cs="Arial"/>
          <w:sz w:val="24"/>
          <w:szCs w:val="24"/>
        </w:rPr>
      </w:pPr>
    </w:p>
    <w:p w:rsidR="00FB32BD" w:rsidRDefault="00FB32BD" w:rsidP="00FB32BD">
      <w:pPr>
        <w:spacing w:after="0" w:line="360" w:lineRule="auto"/>
        <w:jc w:val="both"/>
        <w:rPr>
          <w:rFonts w:ascii="Palatino Linotype" w:eastAsia="MS Mincho" w:hAnsi="Palatino Linotype" w:cs="Arial"/>
          <w:sz w:val="24"/>
          <w:szCs w:val="24"/>
        </w:rPr>
      </w:pPr>
    </w:p>
    <w:p w:rsidR="00FB32BD" w:rsidRDefault="00FB32BD" w:rsidP="00FB32BD">
      <w:pPr>
        <w:spacing w:after="0" w:line="360" w:lineRule="auto"/>
        <w:jc w:val="both"/>
        <w:rPr>
          <w:rFonts w:ascii="Palatino Linotype" w:eastAsia="MS Mincho" w:hAnsi="Palatino Linotype" w:cs="Arial"/>
          <w:sz w:val="24"/>
          <w:szCs w:val="24"/>
        </w:rPr>
      </w:pPr>
    </w:p>
    <w:p w:rsidR="00FB32BD" w:rsidRDefault="00FB32BD" w:rsidP="00FB32BD">
      <w:pPr>
        <w:spacing w:after="0" w:line="360" w:lineRule="auto"/>
        <w:jc w:val="both"/>
        <w:rPr>
          <w:rFonts w:ascii="Palatino Linotype" w:eastAsia="MS Mincho" w:hAnsi="Palatino Linotype" w:cs="Arial"/>
          <w:sz w:val="24"/>
          <w:szCs w:val="24"/>
        </w:rPr>
      </w:pPr>
    </w:p>
    <w:p w:rsidR="00FB32BD" w:rsidRDefault="00FB32BD" w:rsidP="00FB32BD">
      <w:pPr>
        <w:spacing w:after="0" w:line="360" w:lineRule="auto"/>
        <w:jc w:val="both"/>
        <w:rPr>
          <w:rFonts w:ascii="Palatino Linotype" w:eastAsia="MS Mincho" w:hAnsi="Palatino Linotype" w:cs="Arial"/>
          <w:sz w:val="24"/>
          <w:szCs w:val="24"/>
        </w:rPr>
      </w:pPr>
    </w:p>
    <w:p w:rsidR="00186D88" w:rsidRDefault="00186D88" w:rsidP="00FB32BD">
      <w:pPr>
        <w:spacing w:after="0" w:line="360" w:lineRule="auto"/>
        <w:jc w:val="both"/>
        <w:rPr>
          <w:rFonts w:ascii="Palatino Linotype" w:eastAsia="MS Mincho" w:hAnsi="Palatino Linotype" w:cs="Arial"/>
          <w:sz w:val="24"/>
          <w:szCs w:val="24"/>
        </w:rPr>
      </w:pPr>
    </w:p>
    <w:tbl>
      <w:tblPr>
        <w:tblW w:w="4393" w:type="dxa"/>
        <w:jc w:val="center"/>
        <w:tblLayout w:type="fixed"/>
        <w:tblLook w:val="04A0" w:firstRow="1" w:lastRow="0" w:firstColumn="1" w:lastColumn="0" w:noHBand="0" w:noVBand="1"/>
      </w:tblPr>
      <w:tblGrid>
        <w:gridCol w:w="4393"/>
      </w:tblGrid>
      <w:tr w:rsidR="00A15DFF" w:rsidRPr="009F71D8" w:rsidTr="00D13666">
        <w:trPr>
          <w:jc w:val="center"/>
        </w:trPr>
        <w:tc>
          <w:tcPr>
            <w:tcW w:w="4393" w:type="dxa"/>
          </w:tcPr>
          <w:p w:rsidR="00A15DFF" w:rsidRPr="009F71D8" w:rsidRDefault="00A15DFF" w:rsidP="00FB32BD">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EVA ABAID YAPUR</w:t>
            </w:r>
          </w:p>
          <w:p w:rsidR="00A15DFF" w:rsidRDefault="00A15DFF" w:rsidP="00186D88">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COMISIONADA</w:t>
            </w:r>
          </w:p>
          <w:p w:rsidR="00E95BAC" w:rsidRPr="009F71D8" w:rsidRDefault="00E95BAC" w:rsidP="00186D88">
            <w:pPr>
              <w:spacing w:after="0" w:line="240" w:lineRule="auto"/>
              <w:ind w:right="51"/>
              <w:jc w:val="center"/>
              <w:rPr>
                <w:rFonts w:ascii="Palatino Linotype" w:hAnsi="Palatino Linotype"/>
                <w:b/>
                <w:sz w:val="24"/>
                <w:szCs w:val="24"/>
              </w:rPr>
            </w:pPr>
            <w:r>
              <w:rPr>
                <w:rFonts w:ascii="Palatino Linotype" w:hAnsi="Palatino Linotype"/>
                <w:b/>
                <w:sz w:val="24"/>
                <w:szCs w:val="24"/>
              </w:rPr>
              <w:t>(RÚBRICA)</w:t>
            </w:r>
          </w:p>
        </w:tc>
      </w:tr>
    </w:tbl>
    <w:p w:rsidR="00914641" w:rsidRDefault="00914641" w:rsidP="00FB32BD">
      <w:pPr>
        <w:widowControl w:val="0"/>
        <w:spacing w:after="0" w:line="240" w:lineRule="auto"/>
        <w:ind w:right="51"/>
        <w:jc w:val="both"/>
        <w:rPr>
          <w:rFonts w:ascii="Palatino Linotype" w:eastAsia="Calibri" w:hAnsi="Palatino Linotype" w:cs="Arial"/>
          <w:color w:val="000000" w:themeColor="text1"/>
          <w:sz w:val="18"/>
          <w:szCs w:val="18"/>
        </w:rPr>
      </w:pPr>
    </w:p>
    <w:p w:rsidR="00FB32BD" w:rsidRDefault="00FB32BD" w:rsidP="00FB32BD">
      <w:pPr>
        <w:widowControl w:val="0"/>
        <w:spacing w:after="0" w:line="240" w:lineRule="auto"/>
        <w:ind w:right="51"/>
        <w:jc w:val="both"/>
        <w:rPr>
          <w:rFonts w:ascii="Palatino Linotype" w:eastAsia="Calibri" w:hAnsi="Palatino Linotype" w:cs="Arial"/>
          <w:color w:val="000000" w:themeColor="text1"/>
          <w:sz w:val="18"/>
          <w:szCs w:val="18"/>
        </w:rPr>
      </w:pPr>
    </w:p>
    <w:p w:rsidR="00FB32BD" w:rsidRDefault="00FB32BD" w:rsidP="00FB32BD">
      <w:pPr>
        <w:widowControl w:val="0"/>
        <w:spacing w:after="0" w:line="240" w:lineRule="auto"/>
        <w:ind w:right="51"/>
        <w:jc w:val="both"/>
        <w:rPr>
          <w:rFonts w:ascii="Palatino Linotype" w:eastAsia="Calibri" w:hAnsi="Palatino Linotype" w:cs="Arial"/>
          <w:color w:val="000000" w:themeColor="text1"/>
          <w:sz w:val="18"/>
          <w:szCs w:val="18"/>
        </w:rPr>
      </w:pPr>
    </w:p>
    <w:p w:rsidR="00FB32BD" w:rsidRDefault="00FB32BD" w:rsidP="00FB32BD">
      <w:pPr>
        <w:widowControl w:val="0"/>
        <w:spacing w:after="0" w:line="240" w:lineRule="auto"/>
        <w:ind w:right="51"/>
        <w:jc w:val="both"/>
        <w:rPr>
          <w:rFonts w:ascii="Palatino Linotype" w:eastAsia="Calibri" w:hAnsi="Palatino Linotype" w:cs="Arial"/>
          <w:color w:val="000000" w:themeColor="text1"/>
          <w:sz w:val="18"/>
          <w:szCs w:val="18"/>
        </w:rPr>
      </w:pPr>
    </w:p>
    <w:p w:rsidR="00FB32BD" w:rsidRDefault="00FB32BD" w:rsidP="00FB32BD">
      <w:pPr>
        <w:widowControl w:val="0"/>
        <w:spacing w:after="0" w:line="240" w:lineRule="auto"/>
        <w:ind w:right="51"/>
        <w:jc w:val="both"/>
        <w:rPr>
          <w:rFonts w:ascii="Palatino Linotype" w:eastAsia="Calibri" w:hAnsi="Palatino Linotype" w:cs="Arial"/>
          <w:color w:val="000000" w:themeColor="text1"/>
          <w:sz w:val="18"/>
          <w:szCs w:val="18"/>
        </w:rPr>
      </w:pPr>
    </w:p>
    <w:p w:rsidR="00186D88" w:rsidRDefault="00186D88" w:rsidP="00FB32BD">
      <w:pPr>
        <w:widowControl w:val="0"/>
        <w:spacing w:after="0" w:line="240" w:lineRule="auto"/>
        <w:ind w:right="51"/>
        <w:jc w:val="both"/>
        <w:rPr>
          <w:rFonts w:ascii="Palatino Linotype" w:eastAsia="Calibri" w:hAnsi="Palatino Linotype" w:cs="Arial"/>
          <w:color w:val="000000" w:themeColor="text1"/>
          <w:sz w:val="18"/>
          <w:szCs w:val="18"/>
        </w:rPr>
      </w:pPr>
    </w:p>
    <w:p w:rsidR="00E95BAC" w:rsidRDefault="00E95BAC" w:rsidP="00FB32BD">
      <w:pPr>
        <w:widowControl w:val="0"/>
        <w:spacing w:after="0" w:line="240" w:lineRule="auto"/>
        <w:ind w:right="51"/>
        <w:jc w:val="both"/>
        <w:rPr>
          <w:rFonts w:ascii="Palatino Linotype" w:eastAsia="Calibri" w:hAnsi="Palatino Linotype" w:cs="Arial"/>
          <w:color w:val="000000" w:themeColor="text1"/>
          <w:sz w:val="18"/>
          <w:szCs w:val="18"/>
        </w:rPr>
      </w:pPr>
    </w:p>
    <w:p w:rsidR="00E95BAC" w:rsidRDefault="00E95BAC" w:rsidP="00FB32BD">
      <w:pPr>
        <w:widowControl w:val="0"/>
        <w:spacing w:after="0" w:line="240" w:lineRule="auto"/>
        <w:ind w:right="51"/>
        <w:jc w:val="both"/>
        <w:rPr>
          <w:rFonts w:ascii="Palatino Linotype" w:eastAsia="Calibri" w:hAnsi="Palatino Linotype" w:cs="Arial"/>
          <w:color w:val="000000" w:themeColor="text1"/>
          <w:sz w:val="18"/>
          <w:szCs w:val="18"/>
        </w:rPr>
      </w:pPr>
    </w:p>
    <w:p w:rsidR="00E95BAC" w:rsidRDefault="00E95BAC" w:rsidP="00FB32BD">
      <w:pPr>
        <w:widowControl w:val="0"/>
        <w:spacing w:after="0" w:line="240" w:lineRule="auto"/>
        <w:ind w:right="51"/>
        <w:jc w:val="both"/>
        <w:rPr>
          <w:rFonts w:ascii="Palatino Linotype" w:eastAsia="Calibri" w:hAnsi="Palatino Linotype" w:cs="Arial"/>
          <w:color w:val="000000" w:themeColor="text1"/>
          <w:sz w:val="18"/>
          <w:szCs w:val="18"/>
        </w:rPr>
      </w:pPr>
    </w:p>
    <w:p w:rsidR="00E95BAC" w:rsidRDefault="00E95BAC" w:rsidP="00FB32BD">
      <w:pPr>
        <w:widowControl w:val="0"/>
        <w:spacing w:after="0" w:line="240" w:lineRule="auto"/>
        <w:ind w:right="51"/>
        <w:jc w:val="both"/>
        <w:rPr>
          <w:rFonts w:ascii="Palatino Linotype" w:eastAsia="Calibri" w:hAnsi="Palatino Linotype" w:cs="Arial"/>
          <w:color w:val="000000" w:themeColor="text1"/>
          <w:sz w:val="18"/>
          <w:szCs w:val="18"/>
        </w:rPr>
      </w:pPr>
      <w:bookmarkStart w:id="0" w:name="_GoBack"/>
      <w:bookmarkEnd w:id="0"/>
    </w:p>
    <w:p w:rsidR="00186D88" w:rsidRDefault="00186D88" w:rsidP="00FB32BD">
      <w:pPr>
        <w:widowControl w:val="0"/>
        <w:spacing w:after="0" w:line="240" w:lineRule="auto"/>
        <w:ind w:right="51"/>
        <w:jc w:val="both"/>
        <w:rPr>
          <w:rFonts w:ascii="Palatino Linotype" w:eastAsia="Calibri" w:hAnsi="Palatino Linotype" w:cs="Arial"/>
          <w:color w:val="000000" w:themeColor="text1"/>
          <w:sz w:val="18"/>
          <w:szCs w:val="18"/>
        </w:rPr>
      </w:pPr>
    </w:p>
    <w:p w:rsidR="00A15DFF" w:rsidRPr="00186D88" w:rsidRDefault="00A15DFF" w:rsidP="00FB32BD">
      <w:pPr>
        <w:widowControl w:val="0"/>
        <w:spacing w:after="0" w:line="240" w:lineRule="auto"/>
        <w:ind w:right="51"/>
        <w:jc w:val="both"/>
        <w:rPr>
          <w:rFonts w:ascii="Palatino Linotype" w:hAnsi="Palatino Linotype" w:cs="Arial"/>
          <w:bCs/>
          <w:sz w:val="20"/>
          <w:szCs w:val="20"/>
        </w:rPr>
      </w:pPr>
      <w:r w:rsidRPr="00186D88">
        <w:rPr>
          <w:rFonts w:ascii="Palatino Linotype" w:eastAsia="Calibri" w:hAnsi="Palatino Linotype" w:cs="Arial"/>
          <w:color w:val="000000" w:themeColor="text1"/>
          <w:sz w:val="20"/>
          <w:szCs w:val="20"/>
        </w:rPr>
        <w:t xml:space="preserve">Esta hoja corresponde al voto particular emitido en la resolución del recurso de revisión </w:t>
      </w:r>
      <w:r w:rsidR="009B20AF" w:rsidRPr="00186D88">
        <w:rPr>
          <w:rFonts w:ascii="Palatino Linotype" w:hAnsi="Palatino Linotype" w:cs="Arial"/>
          <w:bCs/>
          <w:sz w:val="20"/>
          <w:szCs w:val="20"/>
        </w:rPr>
        <w:t>04608</w:t>
      </w:r>
      <w:r w:rsidRPr="00186D88">
        <w:rPr>
          <w:rFonts w:ascii="Palatino Linotype" w:hAnsi="Palatino Linotype" w:cs="Arial"/>
          <w:bCs/>
          <w:sz w:val="20"/>
          <w:szCs w:val="20"/>
        </w:rPr>
        <w:t>/INFOEM/IP/RR/2018,</w:t>
      </w:r>
      <w:r w:rsidRPr="00186D88">
        <w:rPr>
          <w:rFonts w:ascii="Palatino Linotype" w:hAnsi="Palatino Linotype" w:cs="Arial"/>
          <w:b/>
          <w:bCs/>
          <w:sz w:val="20"/>
          <w:szCs w:val="20"/>
        </w:rPr>
        <w:t xml:space="preserve"> </w:t>
      </w:r>
      <w:r w:rsidRPr="00186D88">
        <w:rPr>
          <w:rFonts w:ascii="Palatino Linotype" w:hAnsi="Palatino Linotype" w:cs="Arial"/>
          <w:bCs/>
          <w:sz w:val="20"/>
          <w:szCs w:val="20"/>
        </w:rPr>
        <w:t xml:space="preserve">aprobado el </w:t>
      </w:r>
      <w:r w:rsidR="009B20AF" w:rsidRPr="00186D88">
        <w:rPr>
          <w:rFonts w:ascii="Palatino Linotype" w:hAnsi="Palatino Linotype" w:cs="Arial"/>
          <w:bCs/>
          <w:sz w:val="20"/>
          <w:szCs w:val="20"/>
        </w:rPr>
        <w:t xml:space="preserve">veintisiete </w:t>
      </w:r>
      <w:r w:rsidRPr="00186D88">
        <w:rPr>
          <w:rFonts w:ascii="Palatino Linotype" w:hAnsi="Palatino Linotype" w:cs="Arial"/>
          <w:bCs/>
          <w:sz w:val="20"/>
          <w:szCs w:val="20"/>
        </w:rPr>
        <w:t>de febrero de dos mil diecinueve.</w:t>
      </w:r>
    </w:p>
    <w:p w:rsidR="00186D88" w:rsidRPr="00186D88" w:rsidRDefault="00186D88" w:rsidP="00FB32BD">
      <w:pPr>
        <w:widowControl w:val="0"/>
        <w:spacing w:after="0" w:line="240" w:lineRule="auto"/>
        <w:ind w:right="51"/>
        <w:jc w:val="both"/>
        <w:rPr>
          <w:rFonts w:ascii="Palatino Linotype" w:hAnsi="Palatino Linotype" w:cs="Arial"/>
          <w:sz w:val="8"/>
          <w:szCs w:val="8"/>
        </w:rPr>
      </w:pPr>
    </w:p>
    <w:p w:rsidR="00A15DFF" w:rsidRPr="00186D88" w:rsidRDefault="00A15DFF" w:rsidP="00FB32BD">
      <w:pPr>
        <w:spacing w:after="0" w:line="240" w:lineRule="auto"/>
        <w:ind w:right="51"/>
        <w:jc w:val="both"/>
        <w:rPr>
          <w:sz w:val="20"/>
          <w:szCs w:val="20"/>
        </w:rPr>
      </w:pPr>
      <w:r w:rsidRPr="00186D88">
        <w:rPr>
          <w:rFonts w:ascii="Palatino Linotype" w:eastAsia="Calibri" w:hAnsi="Palatino Linotype" w:cs="Arial"/>
          <w:color w:val="000000" w:themeColor="text1"/>
          <w:sz w:val="20"/>
          <w:szCs w:val="20"/>
        </w:rPr>
        <w:t>YSM/AMV</w:t>
      </w:r>
    </w:p>
    <w:sectPr w:rsidR="00A15DFF" w:rsidRPr="00186D88"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EA0" w:rsidRDefault="005B4EA0" w:rsidP="00A15DFF">
      <w:pPr>
        <w:spacing w:after="0" w:line="240" w:lineRule="auto"/>
      </w:pPr>
      <w:r>
        <w:separator/>
      </w:r>
    </w:p>
  </w:endnote>
  <w:endnote w:type="continuationSeparator" w:id="0">
    <w:p w:rsidR="005B4EA0" w:rsidRDefault="005B4EA0" w:rsidP="00A1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E95BAC" w:rsidP="00DC5C4E">
    <w:pPr>
      <w:pStyle w:val="Piedepgina"/>
      <w:tabs>
        <w:tab w:val="clear" w:pos="4252"/>
        <w:tab w:val="left" w:pos="4228"/>
      </w:tabs>
      <w:rPr>
        <w:rFonts w:ascii="Palatino Linotype" w:hAnsi="Palatino Linotype" w:cs="Arial"/>
        <w:b/>
        <w:bCs/>
        <w:sz w:val="20"/>
        <w:szCs w:val="20"/>
      </w:rPr>
    </w:pPr>
  </w:p>
  <w:p w:rsidR="005C7C8F" w:rsidRDefault="00E95BAC" w:rsidP="00DC5C4E">
    <w:pPr>
      <w:pStyle w:val="Piedepgina"/>
      <w:tabs>
        <w:tab w:val="clear" w:pos="4252"/>
        <w:tab w:val="left" w:pos="4228"/>
      </w:tabs>
      <w:rPr>
        <w:rFonts w:ascii="Palatino Linotype" w:hAnsi="Palatino Linotype" w:cs="Arial"/>
        <w:b/>
        <w:bCs/>
        <w:sz w:val="20"/>
        <w:szCs w:val="20"/>
      </w:rPr>
    </w:pPr>
  </w:p>
  <w:p w:rsidR="005C7C8F" w:rsidRDefault="00E95BAC" w:rsidP="00186D88">
    <w:pPr>
      <w:pStyle w:val="Piedepgina"/>
      <w:tabs>
        <w:tab w:val="clear" w:pos="4252"/>
        <w:tab w:val="left" w:pos="4228"/>
      </w:tabs>
      <w:jc w:val="center"/>
      <w:rPr>
        <w:rFonts w:ascii="Palatino Linotype" w:hAnsi="Palatino Linotype" w:cs="Arial"/>
        <w:b/>
        <w:bCs/>
        <w:sz w:val="20"/>
        <w:szCs w:val="20"/>
      </w:rPr>
    </w:pPr>
  </w:p>
  <w:p w:rsidR="005C7C8F" w:rsidRDefault="00E95BAC" w:rsidP="00DC5C4E">
    <w:pPr>
      <w:pStyle w:val="Piedepgina"/>
      <w:rPr>
        <w:rFonts w:ascii="Palatino Linotype" w:hAnsi="Palatino Linotype" w:cs="Arial"/>
        <w:b/>
        <w:bCs/>
        <w:sz w:val="20"/>
        <w:szCs w:val="20"/>
      </w:rPr>
    </w:pPr>
  </w:p>
  <w:p w:rsidR="005C7C8F" w:rsidRPr="00F12350" w:rsidRDefault="00492195"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95BAC">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95BAC">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5C7C8F" w:rsidRDefault="00E95BAC"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EA0" w:rsidRDefault="005B4EA0" w:rsidP="00A15DFF">
      <w:pPr>
        <w:spacing w:after="0" w:line="240" w:lineRule="auto"/>
      </w:pPr>
      <w:r>
        <w:separator/>
      </w:r>
    </w:p>
  </w:footnote>
  <w:footnote w:type="continuationSeparator" w:id="0">
    <w:p w:rsidR="005B4EA0" w:rsidRDefault="005B4EA0" w:rsidP="00A15DFF">
      <w:pPr>
        <w:spacing w:after="0" w:line="240" w:lineRule="auto"/>
      </w:pPr>
      <w:r>
        <w:continuationSeparator/>
      </w:r>
    </w:p>
  </w:footnote>
  <w:footnote w:id="1">
    <w:p w:rsidR="00310F76" w:rsidRDefault="00310F76" w:rsidP="00310F76">
      <w:pPr>
        <w:spacing w:after="0" w:line="240" w:lineRule="auto"/>
        <w:jc w:val="both"/>
        <w:rPr>
          <w:rFonts w:ascii="Palatino Linotype" w:hAnsi="Palatino Linotype" w:cs="Arial"/>
          <w:sz w:val="16"/>
          <w:szCs w:val="16"/>
        </w:rPr>
      </w:pPr>
      <w:r w:rsidRPr="00310F76">
        <w:rPr>
          <w:rFonts w:ascii="Palatino Linotype" w:hAnsi="Palatino Linotype" w:cs="Arial"/>
          <w:sz w:val="24"/>
          <w:szCs w:val="24"/>
        </w:rPr>
        <w:footnoteRef/>
      </w:r>
      <w:r>
        <w:rPr>
          <w:rFonts w:ascii="Palatino Linotype" w:hAnsi="Palatino Linotype" w:cs="Arial"/>
          <w:sz w:val="24"/>
          <w:szCs w:val="24"/>
        </w:rPr>
        <w:t xml:space="preserve"> </w:t>
      </w:r>
      <w:r w:rsidRPr="00310F76">
        <w:rPr>
          <w:rFonts w:ascii="Palatino Linotype" w:hAnsi="Palatino Linotype" w:cs="Arial"/>
          <w:sz w:val="16"/>
          <w:szCs w:val="16"/>
        </w:rPr>
        <w:t>Relación</w:t>
      </w:r>
      <w:r w:rsidRPr="00310F76">
        <w:rPr>
          <w:rFonts w:ascii="Palatino Linotype" w:hAnsi="Palatino Linotype" w:cs="Arial" w:hint="eastAsia"/>
          <w:sz w:val="16"/>
          <w:szCs w:val="16"/>
        </w:rPr>
        <w:t xml:space="preserve"> </w:t>
      </w:r>
      <w:r w:rsidRPr="00310F76">
        <w:rPr>
          <w:rFonts w:ascii="Palatino Linotype" w:hAnsi="Palatino Linotype" w:cs="Arial"/>
          <w:sz w:val="16"/>
          <w:szCs w:val="16"/>
        </w:rPr>
        <w:t>de</w:t>
      </w:r>
      <w:r w:rsidRPr="00310F76">
        <w:rPr>
          <w:rFonts w:ascii="Palatino Linotype" w:hAnsi="Palatino Linotype" w:cs="Arial" w:hint="eastAsia"/>
          <w:sz w:val="16"/>
          <w:szCs w:val="16"/>
        </w:rPr>
        <w:t xml:space="preserve"> </w:t>
      </w:r>
      <w:r w:rsidRPr="00310F76">
        <w:rPr>
          <w:rFonts w:ascii="Palatino Linotype" w:hAnsi="Palatino Linotype" w:cs="Arial"/>
          <w:sz w:val="16"/>
          <w:szCs w:val="16"/>
        </w:rPr>
        <w:t>los</w:t>
      </w:r>
      <w:r w:rsidRPr="00310F76">
        <w:rPr>
          <w:rFonts w:ascii="Palatino Linotype" w:hAnsi="Palatino Linotype" w:cs="Arial" w:hint="eastAsia"/>
          <w:sz w:val="16"/>
          <w:szCs w:val="16"/>
        </w:rPr>
        <w:t xml:space="preserve"> </w:t>
      </w:r>
      <w:r w:rsidRPr="00310F76">
        <w:rPr>
          <w:rFonts w:ascii="Palatino Linotype" w:hAnsi="Palatino Linotype" w:cs="Arial"/>
          <w:sz w:val="16"/>
          <w:szCs w:val="16"/>
        </w:rPr>
        <w:t>títulos</w:t>
      </w:r>
      <w:r w:rsidRPr="00310F76">
        <w:rPr>
          <w:rFonts w:ascii="Palatino Linotype" w:hAnsi="Palatino Linotype" w:cs="Arial" w:hint="eastAsia"/>
          <w:sz w:val="16"/>
          <w:szCs w:val="16"/>
        </w:rPr>
        <w:t xml:space="preserve">, </w:t>
      </w:r>
      <w:r w:rsidRPr="00310F76">
        <w:rPr>
          <w:rFonts w:ascii="Palatino Linotype" w:hAnsi="Palatino Linotype" w:cs="Arial"/>
          <w:sz w:val="16"/>
          <w:szCs w:val="16"/>
        </w:rPr>
        <w:t>honores</w:t>
      </w:r>
      <w:r w:rsidRPr="00310F76">
        <w:rPr>
          <w:rFonts w:ascii="Palatino Linotype" w:hAnsi="Palatino Linotype" w:cs="Arial" w:hint="eastAsia"/>
          <w:sz w:val="16"/>
          <w:szCs w:val="16"/>
        </w:rPr>
        <w:t xml:space="preserve">, </w:t>
      </w:r>
      <w:r w:rsidRPr="00310F76">
        <w:rPr>
          <w:rFonts w:ascii="Palatino Linotype" w:hAnsi="Palatino Linotype" w:cs="Arial"/>
          <w:sz w:val="16"/>
          <w:szCs w:val="16"/>
        </w:rPr>
        <w:t>cargos</w:t>
      </w:r>
      <w:r w:rsidRPr="00310F76">
        <w:rPr>
          <w:rFonts w:ascii="Palatino Linotype" w:hAnsi="Palatino Linotype" w:cs="Arial" w:hint="eastAsia"/>
          <w:sz w:val="16"/>
          <w:szCs w:val="16"/>
        </w:rPr>
        <w:t xml:space="preserve">, </w:t>
      </w:r>
      <w:r w:rsidRPr="00310F76">
        <w:rPr>
          <w:rFonts w:ascii="Palatino Linotype" w:hAnsi="Palatino Linotype" w:cs="Arial"/>
          <w:sz w:val="16"/>
          <w:szCs w:val="16"/>
        </w:rPr>
        <w:t>trabajos</w:t>
      </w:r>
      <w:r w:rsidRPr="00310F76">
        <w:rPr>
          <w:rFonts w:ascii="Palatino Linotype" w:hAnsi="Palatino Linotype" w:cs="Arial" w:hint="eastAsia"/>
          <w:sz w:val="16"/>
          <w:szCs w:val="16"/>
        </w:rPr>
        <w:t xml:space="preserve"> </w:t>
      </w:r>
      <w:r w:rsidRPr="00310F76">
        <w:rPr>
          <w:rFonts w:ascii="Palatino Linotype" w:hAnsi="Palatino Linotype" w:cs="Arial"/>
          <w:sz w:val="16"/>
          <w:szCs w:val="16"/>
        </w:rPr>
        <w:t>realizados</w:t>
      </w:r>
      <w:r w:rsidRPr="00310F76">
        <w:rPr>
          <w:rFonts w:ascii="Palatino Linotype" w:hAnsi="Palatino Linotype" w:cs="Arial" w:hint="eastAsia"/>
          <w:sz w:val="16"/>
          <w:szCs w:val="16"/>
        </w:rPr>
        <w:t xml:space="preserve">, </w:t>
      </w:r>
      <w:r w:rsidRPr="00310F76">
        <w:rPr>
          <w:rFonts w:ascii="Palatino Linotype" w:hAnsi="Palatino Linotype" w:cs="Arial"/>
          <w:sz w:val="16"/>
          <w:szCs w:val="16"/>
        </w:rPr>
        <w:t>datos</w:t>
      </w:r>
      <w:r w:rsidRPr="00310F76">
        <w:rPr>
          <w:rFonts w:ascii="Palatino Linotype" w:hAnsi="Palatino Linotype" w:cs="Arial" w:hint="eastAsia"/>
          <w:sz w:val="16"/>
          <w:szCs w:val="16"/>
        </w:rPr>
        <w:t xml:space="preserve"> </w:t>
      </w:r>
      <w:r w:rsidRPr="00310F76">
        <w:rPr>
          <w:rFonts w:ascii="Palatino Linotype" w:hAnsi="Palatino Linotype" w:cs="Arial"/>
          <w:sz w:val="16"/>
          <w:szCs w:val="16"/>
        </w:rPr>
        <w:t>biográficos</w:t>
      </w:r>
      <w:r w:rsidRPr="00310F76">
        <w:rPr>
          <w:rFonts w:ascii="Palatino Linotype" w:hAnsi="Palatino Linotype" w:cs="Arial" w:hint="eastAsia"/>
          <w:sz w:val="16"/>
          <w:szCs w:val="16"/>
        </w:rPr>
        <w:t xml:space="preserve">, </w:t>
      </w:r>
      <w:r w:rsidRPr="00310F76">
        <w:rPr>
          <w:rFonts w:ascii="Palatino Linotype" w:hAnsi="Palatino Linotype" w:cs="Arial"/>
          <w:sz w:val="16"/>
          <w:szCs w:val="16"/>
        </w:rPr>
        <w:t>etc.,</w:t>
      </w:r>
      <w:r w:rsidRPr="00310F76">
        <w:rPr>
          <w:rFonts w:ascii="Palatino Linotype" w:hAnsi="Palatino Linotype" w:cs="Arial" w:hint="eastAsia"/>
          <w:sz w:val="16"/>
          <w:szCs w:val="16"/>
        </w:rPr>
        <w:t xml:space="preserve"> </w:t>
      </w:r>
      <w:r w:rsidRPr="00310F76">
        <w:rPr>
          <w:rFonts w:ascii="Palatino Linotype" w:hAnsi="Palatino Linotype" w:cs="Arial"/>
          <w:sz w:val="16"/>
          <w:szCs w:val="16"/>
        </w:rPr>
        <w:t>que</w:t>
      </w:r>
      <w:r w:rsidRPr="00310F76">
        <w:rPr>
          <w:rFonts w:ascii="Palatino Linotype" w:hAnsi="Palatino Linotype" w:cs="Arial" w:hint="eastAsia"/>
          <w:sz w:val="16"/>
          <w:szCs w:val="16"/>
        </w:rPr>
        <w:t xml:space="preserve"> </w:t>
      </w:r>
      <w:r w:rsidRPr="00310F76">
        <w:rPr>
          <w:rFonts w:ascii="Palatino Linotype" w:hAnsi="Palatino Linotype" w:cs="Arial"/>
          <w:sz w:val="16"/>
          <w:szCs w:val="16"/>
        </w:rPr>
        <w:t>califican</w:t>
      </w:r>
      <w:r w:rsidRPr="00310F76">
        <w:rPr>
          <w:rFonts w:ascii="Palatino Linotype" w:hAnsi="Palatino Linotype" w:cs="Arial" w:hint="eastAsia"/>
          <w:sz w:val="16"/>
          <w:szCs w:val="16"/>
        </w:rPr>
        <w:t xml:space="preserve"> </w:t>
      </w:r>
      <w:r w:rsidRPr="00310F76">
        <w:rPr>
          <w:rFonts w:ascii="Palatino Linotype" w:hAnsi="Palatino Linotype" w:cs="Arial"/>
          <w:sz w:val="16"/>
          <w:szCs w:val="16"/>
        </w:rPr>
        <w:t>a</w:t>
      </w:r>
      <w:r w:rsidRPr="00310F76">
        <w:rPr>
          <w:rFonts w:ascii="Palatino Linotype" w:hAnsi="Palatino Linotype" w:cs="Arial" w:hint="eastAsia"/>
          <w:sz w:val="16"/>
          <w:szCs w:val="16"/>
        </w:rPr>
        <w:t xml:space="preserve"> </w:t>
      </w:r>
      <w:r w:rsidRPr="00310F76">
        <w:rPr>
          <w:rFonts w:ascii="Palatino Linotype" w:hAnsi="Palatino Linotype" w:cs="Arial"/>
          <w:sz w:val="16"/>
          <w:szCs w:val="16"/>
        </w:rPr>
        <w:t>una</w:t>
      </w:r>
      <w:r w:rsidRPr="00310F76">
        <w:rPr>
          <w:rFonts w:ascii="Palatino Linotype" w:hAnsi="Palatino Linotype" w:cs="Arial" w:hint="eastAsia"/>
          <w:sz w:val="16"/>
          <w:szCs w:val="16"/>
        </w:rPr>
        <w:t xml:space="preserve"> </w:t>
      </w:r>
      <w:r w:rsidRPr="00310F76">
        <w:rPr>
          <w:rFonts w:ascii="Palatino Linotype" w:hAnsi="Palatino Linotype" w:cs="Arial"/>
          <w:sz w:val="16"/>
          <w:szCs w:val="16"/>
        </w:rPr>
        <w:t>persona</w:t>
      </w:r>
      <w:r w:rsidRPr="00310F76">
        <w:rPr>
          <w:rFonts w:ascii="Palatino Linotype" w:hAnsi="Palatino Linotype" w:cs="Arial" w:hint="eastAsia"/>
          <w:sz w:val="16"/>
          <w:szCs w:val="16"/>
        </w:rPr>
        <w:t>.</w:t>
      </w:r>
    </w:p>
    <w:p w:rsidR="00310F76" w:rsidRPr="00310F76" w:rsidRDefault="00310F76" w:rsidP="00310F76">
      <w:pPr>
        <w:spacing w:after="0" w:line="240" w:lineRule="auto"/>
        <w:jc w:val="both"/>
        <w:rPr>
          <w:rFonts w:ascii="Palatino Linotype" w:hAnsi="Palatino Linotype" w:cs="Arial"/>
          <w:sz w:val="16"/>
          <w:szCs w:val="16"/>
        </w:rPr>
      </w:pPr>
      <w:r>
        <w:rPr>
          <w:rFonts w:ascii="Palatino Linotype" w:hAnsi="Palatino Linotype" w:cs="Arial"/>
          <w:sz w:val="16"/>
          <w:szCs w:val="16"/>
        </w:rPr>
        <w:t xml:space="preserve">Significado consultable en: </w:t>
      </w:r>
      <w:r w:rsidRPr="00310F76">
        <w:rPr>
          <w:rFonts w:ascii="Palatino Linotype" w:hAnsi="Palatino Linotype" w:cs="Arial"/>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E95BA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92195"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6A1F1A5C" wp14:editId="464329A4">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94E9C" w:rsidRDefault="00E95BAC"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E95BAC"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492195"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492195"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A15DFF">
      <w:rPr>
        <w:rFonts w:ascii="Palatino Linotype" w:hAnsi="Palatino Linotype" w:cs="Arial"/>
        <w:sz w:val="20"/>
        <w:szCs w:val="20"/>
      </w:rPr>
      <w:t>4608</w:t>
    </w:r>
    <w:r w:rsidRPr="00A91250">
      <w:rPr>
        <w:rFonts w:ascii="Palatino Linotype" w:hAnsi="Palatino Linotype" w:cs="Arial"/>
        <w:sz w:val="20"/>
        <w:szCs w:val="20"/>
      </w:rPr>
      <w:t>/INFOEM/IP/RR/201</w:t>
    </w:r>
    <w:r>
      <w:rPr>
        <w:rFonts w:ascii="Palatino Linotype" w:hAnsi="Palatino Linotype" w:cs="Arial"/>
        <w:sz w:val="20"/>
        <w:szCs w:val="20"/>
      </w:rPr>
      <w:t>8</w:t>
    </w:r>
  </w:p>
  <w:p w:rsidR="00D406EF" w:rsidRDefault="00E95BAC"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4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E95BA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2412"/>
    <w:multiLevelType w:val="hybridMultilevel"/>
    <w:tmpl w:val="D4E26B64"/>
    <w:lvl w:ilvl="0" w:tplc="42508C4A">
      <w:start w:val="1"/>
      <w:numFmt w:val="lowerLetter"/>
      <w:lvlText w:val="%1)"/>
      <w:lvlJc w:val="left"/>
      <w:pPr>
        <w:ind w:left="786" w:hanging="360"/>
      </w:pPr>
      <w:rPr>
        <w:rFonts w:ascii="Palatino Linotype" w:eastAsia="MS Mincho" w:hAnsi="Palatino Linotype" w:cstheme="maj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498219C"/>
    <w:multiLevelType w:val="hybridMultilevel"/>
    <w:tmpl w:val="D4E26B64"/>
    <w:lvl w:ilvl="0" w:tplc="42508C4A">
      <w:start w:val="1"/>
      <w:numFmt w:val="lowerLetter"/>
      <w:lvlText w:val="%1)"/>
      <w:lvlJc w:val="left"/>
      <w:pPr>
        <w:ind w:left="786" w:hanging="360"/>
      </w:pPr>
      <w:rPr>
        <w:rFonts w:ascii="Palatino Linotype" w:eastAsia="MS Mincho" w:hAnsi="Palatino Linotype" w:cstheme="maj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E557FA3"/>
    <w:multiLevelType w:val="multilevel"/>
    <w:tmpl w:val="F588EA3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DFF"/>
    <w:rsid w:val="000C3A65"/>
    <w:rsid w:val="000E1148"/>
    <w:rsid w:val="00135EAD"/>
    <w:rsid w:val="00162F38"/>
    <w:rsid w:val="00186D88"/>
    <w:rsid w:val="002906AF"/>
    <w:rsid w:val="00310F76"/>
    <w:rsid w:val="003D3990"/>
    <w:rsid w:val="00492195"/>
    <w:rsid w:val="005611FD"/>
    <w:rsid w:val="005B4EA0"/>
    <w:rsid w:val="005D6C3E"/>
    <w:rsid w:val="006A4CE1"/>
    <w:rsid w:val="006E06CC"/>
    <w:rsid w:val="007A150F"/>
    <w:rsid w:val="00914641"/>
    <w:rsid w:val="00971978"/>
    <w:rsid w:val="009B20AF"/>
    <w:rsid w:val="00A15DFF"/>
    <w:rsid w:val="00AE2F20"/>
    <w:rsid w:val="00C23B43"/>
    <w:rsid w:val="00C9714C"/>
    <w:rsid w:val="00D51076"/>
    <w:rsid w:val="00E74BD2"/>
    <w:rsid w:val="00E95BAC"/>
    <w:rsid w:val="00F73587"/>
    <w:rsid w:val="00FB32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EA6F3DE-3A60-4E76-BE23-C57805AE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D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5DF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A15DFF"/>
    <w:rPr>
      <w:rFonts w:eastAsiaTheme="minorEastAsia"/>
      <w:sz w:val="24"/>
      <w:szCs w:val="24"/>
      <w:lang w:val="es-ES_tradnl" w:eastAsia="es-ES"/>
    </w:rPr>
  </w:style>
  <w:style w:type="paragraph" w:styleId="Piedepgina">
    <w:name w:val="footer"/>
    <w:basedOn w:val="Normal"/>
    <w:link w:val="PiedepginaCar"/>
    <w:uiPriority w:val="99"/>
    <w:unhideWhenUsed/>
    <w:rsid w:val="00A15DF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A15DFF"/>
    <w:rPr>
      <w:rFonts w:eastAsiaTheme="minorEastAsia"/>
      <w:sz w:val="24"/>
      <w:szCs w:val="24"/>
      <w:lang w:val="es-ES_tradnl" w:eastAsia="es-ES"/>
    </w:rPr>
  </w:style>
  <w:style w:type="paragraph" w:styleId="Prrafodelista">
    <w:name w:val="List Paragraph"/>
    <w:basedOn w:val="Normal"/>
    <w:link w:val="PrrafodelistaCar"/>
    <w:uiPriority w:val="34"/>
    <w:qFormat/>
    <w:rsid w:val="00A15DFF"/>
    <w:pPr>
      <w:ind w:left="720"/>
      <w:contextualSpacing/>
    </w:pPr>
  </w:style>
  <w:style w:type="character" w:customStyle="1" w:styleId="PrrafodelistaCar">
    <w:name w:val="Párrafo de lista Car"/>
    <w:link w:val="Prrafodelista"/>
    <w:uiPriority w:val="34"/>
    <w:qFormat/>
    <w:locked/>
    <w:rsid w:val="00A15DFF"/>
  </w:style>
  <w:style w:type="paragraph" w:styleId="Textodeglobo">
    <w:name w:val="Balloon Text"/>
    <w:basedOn w:val="Normal"/>
    <w:link w:val="TextodegloboCar"/>
    <w:uiPriority w:val="99"/>
    <w:semiHidden/>
    <w:unhideWhenUsed/>
    <w:rsid w:val="009B20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20AF"/>
    <w:rPr>
      <w:rFonts w:ascii="Segoe UI" w:hAnsi="Segoe UI" w:cs="Segoe UI"/>
      <w:sz w:val="18"/>
      <w:szCs w:val="18"/>
    </w:rPr>
  </w:style>
  <w:style w:type="paragraph" w:styleId="Textonotapie">
    <w:name w:val="footnote text"/>
    <w:basedOn w:val="Normal"/>
    <w:link w:val="TextonotapieCar"/>
    <w:uiPriority w:val="99"/>
    <w:semiHidden/>
    <w:unhideWhenUsed/>
    <w:rsid w:val="00310F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10F76"/>
    <w:rPr>
      <w:sz w:val="20"/>
      <w:szCs w:val="20"/>
    </w:rPr>
  </w:style>
  <w:style w:type="character" w:styleId="Refdenotaalpie">
    <w:name w:val="footnote reference"/>
    <w:basedOn w:val="Fuentedeprrafopredeter"/>
    <w:uiPriority w:val="99"/>
    <w:semiHidden/>
    <w:unhideWhenUsed/>
    <w:rsid w:val="00310F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A9228-3384-423A-9AF8-5105EC3F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8</Pages>
  <Words>1702</Words>
  <Characters>9363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2019-03-06T00:28:00Z</cp:lastPrinted>
  <dcterms:created xsi:type="dcterms:W3CDTF">2019-03-04T20:50:00Z</dcterms:created>
  <dcterms:modified xsi:type="dcterms:W3CDTF">2019-03-15T00:59:00Z</dcterms:modified>
</cp:coreProperties>
</file>